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31"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47-3552922</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360 Massachusetts Avenue, Suite 203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Acton, MA 01720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327-7078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Neil Dey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360 Massachusetts Avenue, Suite 203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Acton, MA 01720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327-7078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C. O’Fahey,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R. Wiltshire,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Hogan Lovells US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Columbia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Thirteenth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637-5600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public: </w:t>
      </w:r>
      <w:r>
        <w:rPr>
          <w:rFonts w:ascii="Times New Roman" w:cs="Times New Roman" w:eastAsia="Times New Roman" w:hAnsi="Times New Roman"/>
          <w:sz w:val="18"/>
          <w:szCs w:val="18"/>
          <w:color w:val="auto"/>
        </w:rPr>
        <w:t>From time to time after this registration statement is declared effective.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68" w:right="339" w:bottom="28"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pursuant to this prospectus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9707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11,223,665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identified in this prospectus under the caption “Selling Stockholders,” or the Selling Stockholders, of up to 11,223,665 shares of our common stock, par value $0.0001 per share, or the Shares, which are comprised of (i) 3,655,917 shares of common stock issuable to certain of the Selling Stockholders upon the exercise of pre-funded warrants (“Pre-Funded Warrants”), (ii) 3,655,917 shares of common stock issuable to certain of the Selling Stockholders upon the exercise of series G warrants (“Series G Warrants”), (iii) 3,655,917 shares of common stock issuable to certain of the Selling Stockholders upon the exercise of series H warrants (“Series H Warrants”), and (iv) 255,914 shares of common stock issuable to certain of the Selling Stockholders upon the exercise of placement agent warrants (“Placement Agent Warrants” and, together with the Pre-Funded Warrants, the Series G Warrants and the Series H Warrants, the “Warrants”), which Warrants were issued to the Selling Stockholders in June 5, 2026.</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of shares of common stock by the Selling Stockholders hereunder. We will, however, receive the net proceeds of any Warrants exercised for cash. The Selling Stockholders will bear all commissions and discounts, if any, attributable to the sale of the Shares. We will bear all costs, expenses, and fees in connection with the registration of the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shares of our common stock offered by this prospectus from time to time on terms to be determined at the time of sale through ordinary brokerage transactions or through any other means described in this prospectus under the caption “Plan of Distribution.” The shares of common stock may be sold at fixed prices, at market prices prevailing at the time of sale, at prices related to prevailing market price or at negotiated prices.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“BJDX.” On June 16, 2026, the closing price of our common stock was $4.54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10 of this prospectus and under similar headings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79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439"/>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960" w:type="dxa"/>
            <w:vAlign w:val="bottom"/>
            <w:shd w:val="clear" w:color="auto" w:fill="CCEEFF"/>
          </w:tcPr>
          <w:p>
            <w:pPr>
              <w:ind w:left="6480"/>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176"/>
        </w:trPr>
        <w:tc>
          <w:tcPr>
            <w:tcW w:w="15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700" w:type="dxa"/>
            <w:vAlign w:val="bottom"/>
            <w:tcBorders>
              <w:top w:val="single" w:sz="8" w:color="CCEEFF"/>
            </w:tcBorders>
            <w:gridSpan w:val="4"/>
          </w:tcPr>
          <w:p>
            <w:pPr>
              <w:spacing w:after="0"/>
              <w:rPr>
                <w:sz w:val="15"/>
                <w:szCs w:val="15"/>
                <w:color w:val="auto"/>
              </w:rPr>
            </w:pPr>
          </w:p>
        </w:tc>
        <w:tc>
          <w:tcPr>
            <w:tcW w:w="6960" w:type="dxa"/>
            <w:vAlign w:val="bottom"/>
            <w:tcBorders>
              <w:top w:val="single" w:sz="8" w:color="CCEEFF"/>
            </w:tcBorders>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960" w:type="dxa"/>
            <w:vAlign w:val="bottom"/>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175"/>
        </w:trPr>
        <w:tc>
          <w:tcPr>
            <w:tcW w:w="9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40" w:type="dxa"/>
            <w:vAlign w:val="bottom"/>
            <w:tcBorders>
              <w:top w:val="single" w:sz="8" w:color="CCEEFF"/>
            </w:tcBorders>
            <w:gridSpan w:val="10"/>
          </w:tcPr>
          <w:p>
            <w:pPr>
              <w:spacing w:after="0"/>
              <w:rPr>
                <w:sz w:val="15"/>
                <w:szCs w:val="15"/>
                <w:color w:val="auto"/>
              </w:rPr>
            </w:pPr>
          </w:p>
        </w:tc>
        <w:tc>
          <w:tcPr>
            <w:tcW w:w="6960" w:type="dxa"/>
            <w:vAlign w:val="bottom"/>
            <w:tcBorders>
              <w:top w:val="single" w:sz="8" w:color="CCEEFF"/>
            </w:tcBorders>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960" w:type="dxa"/>
            <w:vAlign w:val="bottom"/>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3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tcBorders>
              <w:top w:val="single" w:sz="8" w:color="CCEEFF"/>
            </w:tcBorders>
          </w:tcPr>
          <w:p>
            <w:pPr>
              <w:spacing w:after="0"/>
              <w:rPr>
                <w:sz w:val="15"/>
                <w:szCs w:val="15"/>
                <w:color w:val="auto"/>
              </w:rPr>
            </w:pPr>
          </w:p>
        </w:tc>
        <w:tc>
          <w:tcPr>
            <w:tcW w:w="6960" w:type="dxa"/>
            <w:vAlign w:val="bottom"/>
            <w:tcBorders>
              <w:top w:val="single" w:sz="8" w:color="CCEEFF"/>
            </w:tcBorders>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960" w:type="dxa"/>
            <w:vAlign w:val="bottom"/>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5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780" w:type="dxa"/>
            <w:vAlign w:val="bottom"/>
            <w:tcBorders>
              <w:top w:val="single" w:sz="8" w:color="CCEEFF"/>
            </w:tcBorders>
            <w:gridSpan w:val="6"/>
          </w:tcPr>
          <w:p>
            <w:pPr>
              <w:spacing w:after="0"/>
              <w:rPr>
                <w:sz w:val="15"/>
                <w:szCs w:val="15"/>
                <w:color w:val="auto"/>
              </w:rPr>
            </w:pPr>
          </w:p>
        </w:tc>
        <w:tc>
          <w:tcPr>
            <w:tcW w:w="6960" w:type="dxa"/>
            <w:vAlign w:val="bottom"/>
            <w:tcBorders>
              <w:top w:val="single" w:sz="8" w:color="CCEEFF"/>
            </w:tcBorders>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260" w:type="dxa"/>
            <w:vAlign w:val="bottom"/>
            <w:tcBorders>
              <w:bottom w:val="single" w:sz="8" w:color="CCEEFF"/>
            </w:tcBorders>
            <w:gridSpan w:val="9"/>
            <w:shd w:val="clear" w:color="auto" w:fill="CCEEFF"/>
          </w:tcPr>
          <w:p>
            <w:pPr>
              <w:spacing w:after="0"/>
              <w:rPr>
                <w:sz w:val="17"/>
                <w:szCs w:val="17"/>
                <w:color w:val="auto"/>
              </w:rPr>
            </w:pPr>
          </w:p>
        </w:tc>
        <w:tc>
          <w:tcPr>
            <w:tcW w:w="6960" w:type="dxa"/>
            <w:vAlign w:val="bottom"/>
            <w:tcBorders>
              <w:bottom w:val="single" w:sz="8" w:color="CCEEFF"/>
            </w:tcBorders>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960" w:type="dxa"/>
            <w:vAlign w:val="bottom"/>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260" w:type="dxa"/>
            <w:vAlign w:val="bottom"/>
            <w:tcBorders>
              <w:bottom w:val="single" w:sz="8" w:color="CCEEFF"/>
            </w:tcBorders>
            <w:gridSpan w:val="3"/>
            <w:shd w:val="clear" w:color="auto" w:fill="CCEEFF"/>
          </w:tcPr>
          <w:p>
            <w:pPr>
              <w:spacing w:after="0"/>
              <w:rPr>
                <w:sz w:val="17"/>
                <w:szCs w:val="17"/>
                <w:color w:val="auto"/>
              </w:rPr>
            </w:pPr>
          </w:p>
        </w:tc>
        <w:tc>
          <w:tcPr>
            <w:tcW w:w="6960" w:type="dxa"/>
            <w:vAlign w:val="bottom"/>
            <w:tcBorders>
              <w:bottom w:val="single" w:sz="8" w:color="CCEEFF"/>
            </w:tcBorders>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288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00" w:type="dxa"/>
            <w:vAlign w:val="bottom"/>
            <w:gridSpan w:val="2"/>
          </w:tcPr>
          <w:p>
            <w:pPr>
              <w:spacing w:after="0"/>
              <w:rPr>
                <w:sz w:val="15"/>
                <w:szCs w:val="15"/>
                <w:color w:val="auto"/>
              </w:rPr>
            </w:pPr>
          </w:p>
        </w:tc>
        <w:tc>
          <w:tcPr>
            <w:tcW w:w="6960" w:type="dxa"/>
            <w:vAlign w:val="bottom"/>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under the caption “Selling Stockholders,” from time to time, of up to 11,223,665 shares of our common stock, par value $0.0001 per share. We are not selling any shares of our common stock under this prospectus, and we will not receive any proceeds from the sale of the Shares offered by the Selling Stockholders hereunder. We will, however, receive the net proceeds of any Warrants exercised for cash.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the SEC. Under this registration statement, the Selling Stockholders may sell from time to time in one or more offerings the common stock described in this prospectus. This prospectus omits some of the information contained in the registration statement, and reference is made to the full registration statement for further information with regard to us and the securities being offered by the Selling Stockholders. Any statement contained in the prospectus concerning the provisions of any document filed as an exhibit to the registration statement or otherwise with the SEC is not necessarily complete, and in each instance, reference is made to the document filed. You should review the complete document to evaluate such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carefully read this prospectus, any documents that we incorporate by reference in this prospectus and the information below under the captions “Where You Can Find More Information” and “Incorporation of Documents By Reference” before making an investment decision. You should rely only on the information contained or incorporated by reference in this prospectus, or documents to which we otherwise refer you. In addition, this prospectus contains summaries of certain provisions contained in some of the documents described herein, but reference is made to the actual documents for complete information. We have not authorized any person to provide you with different information. If anyone provides you with additional, different, or inconsistent information, you should not rely on it. This prospectus is not an offer to sell these securities, and it is not soliciting an offer to buy these securities, in any jurisdiction where the offer or sale is not permitted.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includes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even though this prospectus is delivered or securities are sold or otherwise disposed of on a later date. It is important for you to read and consider all information contained in this prospectus in making your investment decision. All of the summaries in this prospectus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or incorporated by reference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incorporated by reference in this prospectus or contained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is an offer to sell only the securities offered hereby, and only under circumstances and in jurisdictions where it is lawful to do 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and the underwriter is not, making an offer to sell these securities in any state or jurisdiction where the offer or sale is not permitted.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estimates, projections and other information concerning our industry, our business, the science of our products and the markets for our products, including data regarding the incidence of certain medical conditions and the scientific basis of our products. We obtained the industry, science, market and similar data set forth in this prospectus from our internal estimates and research and from academic and industry research, publications, surveys, and studies conducted by third parties. While we believe that these industry publications and third-party research, surveys and studies are reliable, we have not independently verified such data and we do not make any representation as to the accuracy of the information. The content of the above sources, except to the extent specifically set forth in this prospectus, does not constitute a portion of this prospectus and is not incorporated herein. Information that is based on estimates, forecasts, projections, market research, scientific research, or similar methodologies is inherently subject to uncertainties and actual events or circumstances may differ materially from events and circumstances that are assumed in this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“Bluejay,” “the Company,” “we,” “us” and “our” refer to Bluejay Diagnostics, Inc. Our logo and all product names are our common law trademarks.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 We do not intend the use or display of other companies’ trademarks and trade names to imply a relationship with, or endorsement or sponsorship of us by, any other companies, products or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2026, we filed a certificate of amendment to our restated certificate of incorporation with the Secretary of State of the State of Delaware to effect a 1-for-4 reverse stock split of our issued and outstanding shares of common stock, par value $0.0001 per share (the “January 2026 Reverse Stock Split”), which became effective on January 29, 2026. All historical share and per share amounts reflected throughout this prospectus have been adjusted to reflect the January 2026 Reverse Stock Split. However, our periodic and current reports, and all other documents incorporated by reference into this prospectus that were filed prior to January 29, 2026, do not give effect to the January 2026 Reverse Stock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2024, we filed a certificate of amendment to our restated certificate of incorporation with the Secretary of State of the State of Delaware to effect a 1-for-50 reverse stock split of our issued and outstanding shares of common stock, par value $0.0001 per share (the “November 2024 Reverse Stock Split”), which became effective on November 18, 2024. All historical share and per share amounts reflected throughout this prospectus have been adjusted to reflect the November 2024 Reverse Stock Split. However, our periodic and current reports, and all other documents incorporated by reference into this prospectus that were filed prior to November 18, 2024, do not give effect to the November 2024 Reverse Stock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2024, we filed a certificate of amendment to our restated certificate of incorporation with the Secretary of State of the State of Delaware to effect a 1-for-8 reverse stock split of our issued and outstanding shares of common stock, par value $0.0001 per share (the “June 2024 Reverse Stock Split”), which became effective on June 20, 2024. All historical share and per share amounts reflected throughout this prospectus have been adjusted to reflect the June 2024 Reverse Stock Split. However, our periodic and current reports, and all other documents incorporated by reference into this prospectus that were filed prior to June 20, 2024, do not give effect to the June 2024 Reverse Stock Split.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596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59638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and in the documents we incorporate by reference.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any applicable free writing prospectus and the documents incorporated by reference herein and therein. You should read all such documents carefully, especially the risk factors and our consolidated financial statements and the related notes included or incorporated by reference herein or therein, before deciding to buy shares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medical diagnostics company focused on improving patient outcomes in critical care settings, with a focus on sepsis. We are working on developing rapid, near-patient tests using whole blood on our Symphony technology platform (“Symphony”), which consists of an analyzer and single-use protein detection cartridges. We do not yet have regulatory clearance for Symphony, and we will need to receive regulatory authorization from the U.S. Food and Drug Administration (the “FDA”) before Symphony can be marketed as a diagnostic product in the United States. We have completed the pre-clinical development of the Symphony analyzer. During 2025, we transferred the intellectual property underlying the production of the Symphony cartridges from the original developer and outside supplier, Toray Industries, Inc. (“Toray”), to a contract manufacturing facility with FDA certification run by Sanyoseiko. The Company has successfully resolved the technical issues related to the Symphony cartridge manufacturing process in collaboration with Sanyoseiko and is now progressing toward analytical and clinical validation to support regulatory submission.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Symphony platform is a combination of Bluejay’s intellectual property (“IP”) and exclusively licensed and patented IP on the Symphony technology that we believe, if cleared, authorized, or approved by the FDA, could provide a solution to a significant market need in the United States. The Symphony device candidate is designed to produce laboratory-quality results in approximately 20 minutes in critical care settings, including Intensive Care Units (“ICUs”) and Emergency Rooms (“ERs”), where rapid and reliable results are required.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product candidate, the Symphony IL-6 test, is an immunoassay for the measurement of interleukin-6 (IL-6) to be used for the monitoring of disease progression in critical care settings. We are currently focused on pursuing the Symphony IL-6 test in the context of sepsis. IL-6 is a clinically established inflammatory biomarker, and is considered a ‘first-responder,’ for assessment of severity of infection and inflammation across many disease indications, including sepsis. A current challenge of healthcare professionals is the excessive time and cost associated with determining a patient’s level of severity at triage and we believe that our Symphony IL-6 test, if ultimately successful and approved, could have the ability to consistently monitor this critical care biomarker with rapid results.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succeed with the foregoing plan, in the future we hope to develop additional tests for Symphony, including tests for myocardial infarction and congestive heart failure (cardiac biomarkers hsTNT and NT pro-BNP) as well as other tests using the Symphony platform.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laws of Delaware on March 20, 2015. Our headquarters, which is our sole office location, is located in Acton, Massachusetts.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Symphony platform is designed to address a subset of the global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devices (“IVDs”) market, with a focus on targeting critical care markets where physicians must quickly determine patient acuity to identify optimal treatment regimens. We are currently focused on our initial biomarker test, Symphony IL-6 test, in the context of the evaluation of the risk of mortality due to sepsis. We hope in the future to also explore the potential for adding new biomarker tests to the Symphony platform to also be used in the context of cardio-metabolic diseases, cancer and other diseases that require rapid tests.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733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Our Business Model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currently have any revenue-generating operations. Our goal is to become the first provider of rapid tests for critical care settings, including infectious, inflammatory and metabolic diseases, by leveraging the strengths of our Symphony platform. We intend to target our sales and marketing of Symphony to the largest critical care facilities in the United States. Our planned business model, which is contingent on us ultimately obtaining market clearance and commercializing our Symphony platform, includes the following:</w:t>
      </w:r>
    </w:p>
    <w:p>
      <w:pPr>
        <w:spacing w:after="0" w:line="178" w:lineRule="exact"/>
        <w:rPr>
          <w:sz w:val="20"/>
          <w:szCs w:val="20"/>
          <w:color w:val="auto"/>
        </w:rPr>
      </w:pPr>
    </w:p>
    <w:p>
      <w:pPr>
        <w:ind w:left="640" w:right="20" w:hanging="324"/>
        <w:spacing w:after="0" w:line="28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Financing Model</w:t>
      </w:r>
      <w:r>
        <w:rPr>
          <w:rFonts w:ascii="Times New Roman" w:cs="Times New Roman" w:eastAsia="Times New Roman" w:hAnsi="Times New Roman"/>
          <w:sz w:val="18"/>
          <w:szCs w:val="18"/>
          <w:color w:val="auto"/>
        </w:rPr>
        <w:t>. We intend to offer various financing options for the device itself. As such, our planned business model would not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incur a significant capital outlay, assuming we are able to successfully offer such financial options.</w:t>
      </w:r>
    </w:p>
    <w:p>
      <w:pPr>
        <w:spacing w:after="0" w:line="158" w:lineRule="exact"/>
        <w:rPr>
          <w:rFonts w:ascii="Times New Roman" w:cs="Times New Roman" w:eastAsia="Times New Roman" w:hAnsi="Times New Roman"/>
          <w:sz w:val="18"/>
          <w:szCs w:val="18"/>
          <w:color w:val="auto"/>
        </w:rPr>
      </w:pPr>
    </w:p>
    <w:p>
      <w:pPr>
        <w:jc w:val="both"/>
        <w:ind w:left="640" w:right="20" w:hanging="324"/>
        <w:spacing w:after="0" w:line="267"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Recurring Revenue</w:t>
      </w:r>
      <w:r>
        <w:rPr>
          <w:rFonts w:ascii="Times New Roman" w:cs="Times New Roman" w:eastAsia="Times New Roman" w:hAnsi="Times New Roman"/>
          <w:sz w:val="18"/>
          <w:szCs w:val="18"/>
          <w:color w:val="auto"/>
        </w:rPr>
        <w:t>. We intend to sell single-use diagnostic test cartridges, thereby seeking to create a growing and recurring revenue 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adoption and utilization increase, and as we develop tests for additional indications. We intend that the sale of test cartridges would generate the majority of our revenue and gross profit.</w:t>
      </w:r>
    </w:p>
    <w:p>
      <w:pPr>
        <w:spacing w:after="0" w:line="173" w:lineRule="exact"/>
        <w:rPr>
          <w:rFonts w:ascii="Times New Roman" w:cs="Times New Roman" w:eastAsia="Times New Roman" w:hAnsi="Times New Roman"/>
          <w:sz w:val="18"/>
          <w:szCs w:val="18"/>
          <w:color w:val="auto"/>
        </w:rPr>
      </w:pPr>
    </w:p>
    <w:p>
      <w:pPr>
        <w:jc w:val="both"/>
        <w:ind w:left="640" w:right="20" w:hanging="324"/>
        <w:spacing w:after="0" w:line="267"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Menu of Diagnostic Products. </w:t>
      </w:r>
      <w:r>
        <w:rPr>
          <w:rFonts w:ascii="Times New Roman" w:cs="Times New Roman" w:eastAsia="Times New Roman" w:hAnsi="Times New Roman"/>
          <w:sz w:val="18"/>
          <w:szCs w:val="18"/>
          <w:color w:val="auto"/>
        </w:rPr>
        <w:t>Our goal would be for the average customer use of the Symphony platform to increase as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the product occurs. If we are able to achieve market clearance in the context of sepsis and then expand our test menu to other diseases and/or conditions, we hope to be able to increase our annual revenue per customer through the resulting increase in utilization.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Symphony Platform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Symphony platform is a proprietary technology platform that is designed to provide rapid and accurate measurements of key diagnostic biomarkers found in blood in a manner that we believe is innovative in the market. Symphony is compact and is designed for the potential of it to be deployed in a manner that is more mobile than current laboratory diagnostic platforms on the market. Symphony incorporates a user-friendly interface where all sample preparation and reagents are integrated into the disposable Symphony cartridges. Symphony only requires a few drops of blood to provide a measurement in approximately 20 minutes.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Symphony analyzer is developed and is designed to orchestrate sample processing (e.g. whole blood, plasma, serum, etc.), biomarker isolation, and immunoassay preparation using non-contact centrifugal force. All necessary reagents and components are integrated into the Symphony cartridges. Utilizing precision microchannel technology and high specificity antibodies, liquid samples are processed, and the biomarker is isolated within the Symphony cartridge. Intermittent centrifugation cycles enable complex fluid movements, allowing sequential reagent additions and independent reaction steps inside the Symphony cartridge. At the conclusion of the test, the Symphony analyzer measures the fluorescence signature correlating to a highly sensitive quantitation of the biomarker.</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perform a Symphony test, the test operator adds the sample (e.g. whole blood, plasma, serum, etc.) to the Symphony cartridge. After scanning the patient ID, the Symphony cartridge is inserted into the Symphony analyzer and the operator initiates the fully automated test. Each analyzer can run up to six cartridges simultaneously, either with six different patient samples or six different tests, providing quantitative measurements used for improved patient management and clinical decision-making.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manufacture our analyzers and cartridges through Sanyoseiko as a CMO, and we have entered into master supply and service agreements with Sanyoseiko governing these matters. Pursuant to statements of work that we have begun providing to Sanyoseiko under these agreements, Sanyoseiko will provide end-to-end support for the Symphony platform, including supporting the manufacturing process for analyzers and cartridges (with hardware, software, and design updates), managing raw material sourcing and vendor compliance, and serving as our CMO for analyzers, cartridges, and related components. In this capacity, Sanyoseiko will oversee fulfillment, kit assembly, labeling, packaging, shipping, and quality control of manufactured products, while also providing regulatory and quality management support, and equipment storage and maintenance.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7" w:right="459" w:bottom="1440" w:gutter="0" w:footer="0" w:header="0"/>
        </w:sectPr>
      </w:pPr>
    </w:p>
    <w:bookmarkStart w:id="8" w:name="page9"/>
    <w:bookmarkEnd w:id="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459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459220"/>
                    </a:xfrm>
                    <a:prstGeom prst="rect">
                      <a:avLst/>
                    </a:prstGeom>
                    <a:noFill/>
                  </pic:spPr>
                </pic:pic>
              </a:graphicData>
            </a:graphic>
          </wp:anchor>
        </w:drawing>
        <w:t>Sanyoseiko has been selected as our CMO due to their core competencies in manufacturing and quality systems recognized by the FDA. Sanyoseiko’s facilities are located in Japan. We currently license the technology for the Symphony cartridges from Toray. Our license grants us exclusive global marketing rights, with the exception of Japan. Bluejay holds the rights to manufacture the analyzers.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further de-risk manufacturing and support scale-up, we have executed a manufacturing partnership with Argonaut Manufacturing Services (“Argonaut”), an FDA-registered and ISO-certified IVD manufacturer. This partnership is designed to support the Company’s broader efforts to establish scalable U.S.-based manufacturing capabilities aligned with its ongoing clinical development programs and future commercialization objectives. In addition, the partnership is intended to strengthen the Company’s future commercial infrastructure by supporting broader product distribution across the United States, enhancing supply chain resilience, and reducing potential risks associated with international sourcing and import tariffs. The collaboration is also intended to mitigate risks associated with the Company’s current reliance on overseas manufacturing by establishing domestic manufacturing capabilities that can provide greater operational control, business continuity, and supply chain security. By leveraging U.S.-based manufacturing and distribution capabilities, the Company aims to improve operational flexibility, support future market demand, and further enhance its ability to commercialize innovative near-patient diagnostic solutions for critical care settings.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foregoing, in May 2026, the Company and Argonaut entered into an agreement and statement of work under which Argonaut will provide manufacturing services to support Symphony. The services include planning, engineering, sourcing, supply chain management, formulation, filling, finishing, quality control testing, procurement of capital equipment and product storage, delivery and distribution relating to the Company’s IL-6 testing products. All services under the Agreement are to be performed pursuant to terms contained in purchase orders to be provided by the Company to Argonaut from time-to-time.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 FDA Regulatory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development, manufacture, testing and sale of our products in the U.S. are subject to regulation by numerous governmental authorities, principally the FDA, and corresponding state and local regulatory agencies. Generally, the products we develop must be cleared by the FDA before they are marketed in the United States. Before and after approval, authorization, or clearance in the United States, our products are subject to extensive regulation by the FDA, as well as by other regulatory bodies. FDA regulations govern, among other things, the development, testing, manufacturing, labeling, safety, storage, recordkeeping, market clearance, authorization or approval, labeling and promotion, import and export, marketing and sales, and distribution of medical devices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regulatory strategy is designed to support commercialization of Symphony in the United States if and when we receive marketing authorization from the FDA. In May 2023, we submitted a pre-submission application to the FDA presenting study designs to validate Symphony IL-6 for use with hospitalized sepsis patients. We participated in a pre-submission meeting with the FDA in August 2023, and at the meeting the FDA provided feedback on the study design, determined that the submission of a 510(k) is the appropriate premarket submission pathway, and requested that certain data be provided in the 510(k). Based on this feedback, we determined to proceed on this basis, which considers the FDA’s feedback.</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2024, we completed a multicenter SYmphony IL-6 MONitoring Sepsis (“SYMON”) clinical study investigating the role of interleukin-6 (IL-6) in patients diagnosed with sepsis and septic shock. This prospective study assessed the performance of IL-6 upon initial presentation to the intensive care unit (ICU). A primary endpoint of the SYMON-I pilot clinical study (registered clinical trial number NCT06181604) suggested that IL-6 levels within 24 hours of sepsis or septic shock diagnosis and admission to the ICU may predict patient mortality out to 28 days. Furthermore, a secondary endpoint of the SYMON-I study suggested that IL-6 levels within 24 hours of sepsis or septic shock diagnosis and admission to the ICU is a predictor of patient mortality during their hospitalization. Other secondary endpoints suggested that lactate and Sequential Organ Failure Assessment (SOFA), standard clinical tests used for sepsis and septic shock patients, were not predictors of patient mortality out to 28 days. We believe that the findings underscore the potential importance of IL-6 as a predictor and provide new insights into the potential pathways for improving sepsis outcomes.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733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Using the data analysis from the SYMON-I pilot clinical study, we initiated the SYMON-II pivotal clinical study in the third quarter of 2024. The SYMON II clinical study has three components: (1) collection, freezing, and biobanking of patient samples, (2) measuring IL-6 concentrations in the biobanked samples near the end of patient enrollment or after the patient enrollment has completed, and (3) analysis of the IL-6 data with the patient outcomes to see if the established IL-6 cutoff value has been validated for 28-day all-cause mortality. Patient enrollment started during the fourth quarter of 2024. As of May 5, 2026, we have enrolled approximately 680 hospital patients among a target of 750 patients, and have collected, frozen and biobanked blood samples from the enrolled patients, while also obtaining all related patient data regarding their disease progression and outcomes. We expect to complete patient enrollment in the study in the summer of 2026. Our goal is to use the Symphony IL-6 test to complete the testing in the SYMON-II clinical trial. We are not yet testing the samples because we are simultaneously working with Sanyoseiko to manufacture the cartridges that will be used in the test, and these cartridges are still being manufactured and verified to ensure that they meet FDA requirements for submission and commercial production. Our goal is to produce and verify these cartridges during 2026.</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able to complete the SYMON-II clinical study and the results are positive, we intend to use the data generated from SYMON-II to support a 510(k) application to the FDA. This application is currently expected to be based on the following intended use: “Symphony IL-6 is intended for use to determine the IL-6 concentration as an aid in assessing the cumulative 28-day risk of all-cause mortality in conjunction with other laboratory findings and clinical assessments for patients diagnosed with sepsis or septic shock in the ICU.” We also plan to present the SYMON-I and SYMON-II results at future national scientific meetings and publish them in peer-reviewed journals, subject to future completion of the SYMON-II study and the results being positive. Subject to achieving needed funding and successfully achieving commercial grade manufacturing with our cartridges, our plan is to begin testing of samples we are collecting as part of the SYMON-II clinical trial by the end of 2026, with a goal of being in position to submit a 510(k) regulatory application to the FDA during the first half of 2027, and an objective of achieving FDA clearance thereafter.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engage in and complete the activities needed for an FDA submission will be contingent upon remaining a going concern and producing product capable of meeting analytical validation and clinical validation.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as Symphony products may be authorized by the FDA, our sales and marketing efforts are intended to focus on brand awareness and market education to potential customers, emphasizing the value of monitoring a critical care patient’s IL-6 levels to improve decision making and patient outcomes. If the device is cleared by the FDA, we intend to target sales to ERs and ICUs at United States hospitals, as well as to long-term acute care facilities. We hope to establish a market presence by selling Symphony devices and tests both directly and through various distribution channels to maximize sales volume and market penetration. In addition to our hope to sell Symphony for eventual use in the patient care market, we are also evaluating sales of Symphony devices for “research use only”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Toray’s intellectual property to develop the Symphony cartridges upon which the Symphony platform relies. We are party to license and supply agreements with Toray, which provides us with an exclusive global license, excluding Japan, to use Toray’s patents and know-how related to the Symphony detection cartridges for the manufacturing, marketing and sale of the products. In exchange for this license, we committed to make two payments of $120,000 each to Toray, both of which were made in 2021. In addition, following the first sale of the cartridges after regulatory clearance, we are obligated to make royalty payments to Toray based on the net sales of the cartridges for the period that any underlying patents exist or ten years after the first sale.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agreements with Toray, we must use best efforts to have substantially completed the establishment of our cartridge manufacturing site by October 2026. We have begun cartridge manufacturing through Sanyoseiko and believe we have satisfied this obligation. However, if Toray were to assert that we have not done so, they could seek to terminate the license agreement as early as November 2026. If Toray were to be successful in terminating the license agreement, we would lose access to certain technology required to produce the cartridges that the Symphony system relies on to function, which would likely result in a material adverse effect on our commercialization efforts.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210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210300"/>
                    </a:xfrm>
                    <a:prstGeom prst="rect">
                      <a:avLst/>
                    </a:prstGeom>
                    <a:noFill/>
                  </pic:spPr>
                </pic:pic>
              </a:graphicData>
            </a:graphic>
          </wp:anchor>
        </w:drawing>
        <w:t>Intellectual Property, Proprietary Technology</w:t>
      </w:r>
    </w:p>
    <w:p>
      <w:pPr>
        <w:spacing w:after="0" w:line="227"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We do not currently directly hold any granted patents. We rely on a combination either directly or through the License Agreement with Toray of patent, copyright, trade secret, trademark, confidentiality agreements, and contractual protection to establish and protect our proprietary rights. Of these patents we rely on, the protections expire internationally in 2027 and 2028, while Toray patents in the U.S. expire on March 18, 2029 and February 22, 2030. As described above, we are currently working toward a goal of being in position to submit a 510(k) regulatory application to the FDA in 2027 with an objective of achieving FDA clearance sometime thereafter, which means that even if we meet our timeline, the period of time we will have to commercialize our product under the protection of these patents is expected to be very narrow.</w:t>
      </w:r>
    </w:p>
    <w:p>
      <w:pPr>
        <w:spacing w:after="0" w:line="187"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In connection with prior development work performed by Bluejay, we plan to apply for patent protections related to certain design improvements made to the Symphony technology platform.</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Competitio</w:t>
      </w:r>
      <w:r>
        <w:rPr>
          <w:rFonts w:ascii="Times New Roman" w:cs="Times New Roman" w:eastAsia="Times New Roman" w:hAnsi="Times New Roman"/>
          <w:sz w:val="18"/>
          <w:szCs w:val="18"/>
          <w:color w:val="auto"/>
        </w:rPr>
        <w:t>n</w:t>
      </w:r>
    </w:p>
    <w:p>
      <w:pPr>
        <w:spacing w:after="0" w:line="227" w:lineRule="exact"/>
        <w:rPr>
          <w:sz w:val="20"/>
          <w:szCs w:val="20"/>
          <w:color w:val="auto"/>
        </w:rPr>
      </w:pPr>
    </w:p>
    <w:p>
      <w:pPr>
        <w:jc w:val="both"/>
        <w:ind w:left="8"/>
        <w:spacing w:after="0" w:line="235" w:lineRule="auto"/>
        <w:rPr>
          <w:sz w:val="20"/>
          <w:szCs w:val="20"/>
          <w:color w:val="auto"/>
        </w:rPr>
      </w:pPr>
      <w:r>
        <w:rPr>
          <w:rFonts w:ascii="Times New Roman" w:cs="Times New Roman" w:eastAsia="Times New Roman" w:hAnsi="Times New Roman"/>
          <w:sz w:val="18"/>
          <w:szCs w:val="18"/>
          <w:color w:val="auto"/>
        </w:rPr>
        <w:t>There are currently no FDA cleared or approved IL-6 tests on the market. There are IL-6 tests granted under FDA Emergency Use Authorization (EUA) for use with only COVID-19 patients, including the Roche Cobas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Siemens ADVIA Centaur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Beckman Coulter Access 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are central laboratory size equipment and require pre-processing of whole blood prior to performing their tests. We believe that Symphony, which is designed for many liquid sample types including whole blood, provides us with a substantial competitive advantage over our existing competition that will sustain through commercialization, despite the major life science companies and consistent entry of innovative start-ups that define our competitive landscape.</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As of June 17, 2026, we have 6 full-time employees, which includes one executive officer. We also contract with several consultants and contractors performing finance, accounting, regulatory advisory, investor relations and manufacturing scale-up support. To conserve costs, our President and Chief Executive Officer serves as our principal financial and accounting officer, in addition to being our principal executive officer. In addition, we do not employ any internal legal personnel. None of our employees are represented by labor unions or covered by collective bargaining agreements.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June 2026 Private Placement</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On June 2, 2026, we entered into a securities purchase agreement with certain institutional accredited investors, pursuant to which we offered and sold</w:t>
      </w:r>
    </w:p>
    <w:p>
      <w:pPr>
        <w:spacing w:after="0" w:line="27" w:lineRule="exact"/>
        <w:rPr>
          <w:sz w:val="20"/>
          <w:szCs w:val="20"/>
          <w:color w:val="auto"/>
        </w:rPr>
      </w:pPr>
    </w:p>
    <w:p>
      <w:pPr>
        <w:jc w:val="both"/>
        <w:ind w:left="8" w:hanging="8"/>
        <w:spacing w:after="0" w:line="252" w:lineRule="auto"/>
        <w:tabs>
          <w:tab w:leader="none" w:pos="2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3,655,917 shares of common stock, (ii) Series G Warrants to purchase up to 3,655,917 shares of common stock, and (ii) Series H Warrants to purchase up to 3,655,917 shares of common stock. The combined price of securities sold in the private placement was $2.324 per Pre-Funded Warrant and accompanying Series G Warrant and Series H Warrant. The Pre-Funded Warrants are immediately exercisable for shares of common stock at an exercise price of $0.0001 per share, and expire once exercised in full. The Series G Warrants and Series H Warrants are immediately exercisable for shares of common stock at an exercise price of $2.075 per share. The Series G Warrants expire five years from the effective date of this registration statement. The Series H Warrants expire twenty-four months from issuance.</w:t>
      </w:r>
    </w:p>
    <w:p>
      <w:pPr>
        <w:spacing w:after="0" w:line="190"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transaction closed on June 5, 2026. At closing, we received proceeds of approximately $7.7 million after payment to the placement agent of a 7% cash fee, a 1% management fee and reimbursement of certain fees and expenses of the placement agent, in each case, pursuant to an engagement letter entered into with the placement agent on April 11, 2026. In addition, pursuant to such engagement letter, we issued to the placement agent (or its designees) Placement Agent Warrants to purchase up to an aggregate of 255,914 shares of common stock on the same terms as the Series G Warrants, except that the exercise price per share is 125% of the combined price of the securities sold in the private placement.</w:t>
      </w:r>
    </w:p>
    <w:p>
      <w:pPr>
        <w:spacing w:after="0" w:line="200" w:lineRule="exact"/>
        <w:rPr>
          <w:sz w:val="20"/>
          <w:szCs w:val="20"/>
          <w:color w:val="auto"/>
        </w:rPr>
      </w:pPr>
    </w:p>
    <w:p>
      <w:pPr>
        <w:spacing w:after="0" w:line="3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45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87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870700"/>
                    </a:xfrm>
                    <a:prstGeom prst="rect">
                      <a:avLst/>
                    </a:prstGeom>
                    <a:noFill/>
                  </pic:spPr>
                </pic:pic>
              </a:graphicData>
            </a:graphic>
          </wp:anchor>
        </w:drawing>
        <w:t>October 2025 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2025, the Company entered into a securities purchase agreement with certain institutional accredited investors, pursuant to which the Company offered and sold (i) an aggregate of 43,750 PIPE Shares and Pre-Funded Warrants to purchase up to 518,750 shares of common stock, and (ii) Series F Warrants to purchase up to 1,125,000 shares of common stock. The combined price of securities sold in the private placement was $8.00 per share of common stock (or pre-funded warrant in lieu thereof, in which case such price was reduced by $0.0004) and accompanying Series F Warrants to acquire two shares of common stock. The Pre-Funded Warrants are exercisable for shares of common stock at an exercise price of $0.0004 per share, are immediately exercisable and expire once exercised in full. The Series F Warrants are exercisable for shares of common stock at an exercise price of $7.00 per share, are immediately exercisable and expire five and one-half years from the date of issuance.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closed on October 10, 2025. At closing, the Company received proceeds of approximately $4.0 million after payment to the placement agent of an 8% cash fee and reimbursement of certain fees and expenses of the placement agent, in each case, pursuant to an engagement letter entered into with the placement agent on August 29, 2025. In addition, pursuant to such engagement letter, the Company issued to the placement agent (or its designees) Placement Agent Warrants to purchase up to an aggregate of 45,000 shares of common stock on the same terms as the Series F Warrants, except that the exercise price per share is 125% of the combined price of the securities sold in the private placement.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24, 2023, we effected the first reverse stock split of our shares of common stock at a ratio of 1-for-20 (the “July 2023 Reverse Stock Split”). On June 20, 2024, we effected a second reverse stock split of our shares of common stock at a ratio of 1-for-8 (the “June 2024 Reverse Stock Split”). On November 18, 2024, we effected a third reverse stock split of our shares of common stock at a ratio of 1-for-50 (the “November 2024 Reverse Stock Split”). On January 29, 2026, we effected a fourth reverse stock split of our shares of common stock at a ratio of 1-for-4 (the “January 2026 Reverse Stock Split” and together with the July 2023 Reverse Stock Split, the June 2024 Reverse Stock Split and the November 2024 Reverse Stock Split, the “Reverse Stock Splits”). As such, collectively, the Company’s common stock has undergone reverse stock splits that have combined the shares on a 1-for-32,000 aggregate basis since July 2023. Each of the Reverse Stock Splits were undertaken because the trading price of our common stock had fallen below the $1.00 per share minimum price that is required to maintain listing on Nasdaq, and the Company desired to maintain the common stock’s Nasdaq listing. The Reverse Stock Splits became effective in the months noted above, when the Company’s common stock opened for trading on Nasdaq on a post-split basis under the Company’s existing trading symbol, “BJDX.” All historical share and per share amounts reflected throughout this prospectus have been adjusted to reflect the Reverse Stock Splits.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are discussed more fully in the “Risk Factors” section of this prospectus immediately following this prospectus summary and in Part I, Item 1A “Risk Factors” of our Annual Report on Form 10-K for the fiscal year ended December 31, 2025, and in Part II, Item 1A “Risk Factors” of our Quarterly Report on Form 10-Q for the fiscal quarter ended March 31, 2026, each of which are incorporated by reference into this prospectus. These risks include the following:</w:t>
      </w:r>
    </w:p>
    <w:p>
      <w:pPr>
        <w:spacing w:after="0" w:line="180" w:lineRule="exact"/>
        <w:rPr>
          <w:sz w:val="20"/>
          <w:szCs w:val="20"/>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do not currently generate any operating income, and will continue to incur losses as we work to obtain product clearance or approval, and thus we may never achieve or maintain profitability.</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material additional funding to continue as a going concern beyond 2027, which may not be available to us on acceptable terms, or at all, and our historical lack of cash resources has slowed the timeline of our clinical trial work and could cause us to eventually run out of cash resources.</w:t>
      </w:r>
    </w:p>
    <w:p>
      <w:pPr>
        <w:spacing w:after="0" w:line="175"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initial public offering of our common stock in November 2021, the market price of our common stock has fallen by more than 99.9%, and we expect to need additional funding amounts in the future, which may result in further dilution and could coincide with further declines in the trading price of our common stock beyond the substantial declines that have occurred in recent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12" w:name="page13"/>
    <w:bookmarkEnd w:id="12"/>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733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In connection with any merger, consolidation or sale of all or substantially all of our assets, holders of our outstanding warrants would be entitled to receive the Black Scholes value of such warrants, which may reduce the consideration otherwise available for payment to holders of our common stock.</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currently listed for quotation on the Nasdaq Capital Market, but we may be unable to meet requirements for continued listing in the future.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license and supply arrangements with Toray, which relate to the license of the core technology used in our Symphony Cartridges and the supply of cartridge intermediates from Toray to Sanyoseiko for Sanyoseiko to manufacture cartridges for Bluejay, are subject to significant risks that may threaten our viability or otherwise have a material adverse effect on us and our business, assets and its prospects.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Symphony platform, including its software and systems, may contain undetected errors, which could limit our ability to provide our products and diminish the attractiveness of our offerings.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raw material shortages, supplier capacity constraints, supplier disruptions, and sourcing issues may adversely impact or limit our products sales and or impact our product margins.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clearance process which we may be required to navigate may be expensive, time-consuming, and uncertain and may prevent us from obtaining clearance for our planned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obtained in the future may not meet the required objectives, which could delay, limit or prevent any regulatory clearance or approval.</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complete required clinical evaluations, or we may experience significant delays in completing such clinical evaluations,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may not meet regulatory quality standards applicable to our manufacturing processes, which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Toray, and any dispute over the license would significantly harm our business.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primarily on Toray to file, prosecute, maintain, defend and enforce intellectual property that we license from it and that is material to our business.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Toray may be unable to protect or enforce the intellectual property rights licensed to us, which could impair our competitive position.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Toray may be subject to claims alleging the violation of the intellectual property rights of others.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request additional data or testing after our submission for application, requiring additional costs and delaying clearance or approval.</w:t>
      </w:r>
    </w:p>
    <w:p>
      <w:pPr>
        <w:spacing w:after="0" w:line="200" w:lineRule="exact"/>
        <w:rPr>
          <w:sz w:val="20"/>
          <w:szCs w:val="20"/>
          <w:color w:val="auto"/>
        </w:rPr>
      </w:pPr>
    </w:p>
    <w:p>
      <w:pPr>
        <w:spacing w:after="0" w:line="299"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459" w:right="479" w:bottom="1440" w:gutter="0" w:footer="0" w:header="0"/>
        </w:sectPr>
      </w:pPr>
    </w:p>
    <w:bookmarkStart w:id="13" w:name="page14"/>
    <w:bookmarkEnd w:id="13"/>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481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We face intense competition in the diagnostic testing market, particularly in the IL-6 space, and as a result we may be unable to effectively compete in our industry.</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in the public market could depress the market price of our common stock.</w:t>
      </w:r>
    </w:p>
    <w:p>
      <w:pPr>
        <w:spacing w:after="0" w:line="225"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Section 404 of the Sarbanes-Oxley Act could have material adverse effect on our business and stock price. Our President and Chief Executive Officer, in addition to serving as principal executive officer, currently serves as our principal financial and accounting officer, and we have no employees devoted on a full-time basis to our finance, accounting, legal or compliance functions, which may substantially increase the likelihood that we will fail to successfully maintain effective internal controls over financial reporting, or effective disclosure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may remain an “emerging growth company” until as late as December 31, 2027 (the fiscal year-end following the fifth anniversary of the completion of our initial public offering). “Emerging growth companies” may take advantage of certain exemptions from various reporting requirements that are applicable to other public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March 20, 2015. Our principal executive offices are located at 360 Massachusetts Avenue, Suite 203, Acton, MA 01720 and our telephone number is (844) 327-7078. Our website address is www.bluejaydx.com. We do not incorporate the information on, or accessible through, our website into this prospectus, and you should not consider any information on, or accessible through, our website as part of this prospectus.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385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3853180"/>
                    </a:xfrm>
                    <a:prstGeom prst="rect">
                      <a:avLst/>
                    </a:prstGeom>
                    <a:noFill/>
                  </pic:spPr>
                </pic:pic>
              </a:graphicData>
            </a:graphic>
          </wp:anchor>
        </w:drawing>
        <w:t>The Offering</w:t>
      </w:r>
    </w:p>
    <w:p>
      <w:pPr>
        <w:sectPr>
          <w:pgSz w:w="11900" w:h="16838" w:orient="portrait"/>
          <w:cols w:equalWidth="0" w:num="1">
            <w:col w:w="10980"/>
          </w:cols>
          <w:pgMar w:left="460" w:top="455" w:right="459" w:bottom="1440" w:gutter="0" w:footer="0" w:header="0"/>
        </w:sectPr>
      </w:pPr>
    </w:p>
    <w:p>
      <w:pPr>
        <w:spacing w:after="0" w:line="24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11,223,665 shares of common stock</w:t>
      </w:r>
    </w:p>
    <w:p>
      <w:pPr>
        <w:spacing w:after="0" w:line="452" w:lineRule="exact"/>
        <w:rPr>
          <w:sz w:val="20"/>
          <w:szCs w:val="20"/>
          <w:color w:val="auto"/>
        </w:rPr>
      </w:pPr>
    </w:p>
    <w:p>
      <w:pPr>
        <w:sectPr>
          <w:pgSz w:w="11900" w:h="16838" w:orient="portrait"/>
          <w:cols w:equalWidth="0" w:num="2">
            <w:col w:w="3680" w:space="720"/>
            <w:col w:w="6580"/>
          </w:cols>
          <w:pgMar w:left="460" w:top="45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Terms of this offering:</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transfer or otherwise dispose of any or all of the Shares offered by this prospectus from time to time as described under the caption “Plan of Distribution” in this prospectus</w:t>
      </w:r>
    </w:p>
    <w:p>
      <w:pPr>
        <w:spacing w:after="0" w:line="176" w:lineRule="exact"/>
        <w:rPr>
          <w:sz w:val="20"/>
          <w:szCs w:val="20"/>
          <w:color w:val="auto"/>
        </w:rPr>
      </w:pPr>
    </w:p>
    <w:p>
      <w:pPr>
        <w:sectPr>
          <w:pgSz w:w="11900" w:h="16838" w:orient="portrait"/>
          <w:cols w:equalWidth="0" w:num="2">
            <w:col w:w="3680" w:space="720"/>
            <w:col w:w="6580"/>
          </w:cols>
          <w:pgMar w:left="460" w:top="45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proceeds from the sale of shares of common stock offered hereby will be for the account of the Selling Stockholders. We will not receive any proceeds from the sale of common stock offered hereunder, although we will receive the net proceeds of any Warrants exercised for cash. See the caption “Use of Proceeds” in this prospectus.</w:t>
      </w:r>
    </w:p>
    <w:p>
      <w:pPr>
        <w:spacing w:after="0" w:line="180" w:lineRule="exact"/>
        <w:rPr>
          <w:sz w:val="20"/>
          <w:szCs w:val="20"/>
          <w:color w:val="auto"/>
        </w:rPr>
      </w:pPr>
    </w:p>
    <w:p>
      <w:pPr>
        <w:sectPr>
          <w:pgSz w:w="11900" w:h="16838" w:orient="portrait"/>
          <w:cols w:equalWidth="0" w:num="2">
            <w:col w:w="3680" w:space="720"/>
            <w:col w:w="6580"/>
          </w:cols>
          <w:pgMar w:left="460" w:top="45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and purchasers of our common stock may lose their entire investment. See the information under the caption “Risk Factors” on page 10 of this prospectus and the other information included elsewhere in this prospectus and incorporated by reference herein for a discussion of factors you should consider before deciding to invest in our securities.</w:t>
      </w:r>
    </w:p>
    <w:p>
      <w:pPr>
        <w:spacing w:after="0" w:line="183" w:lineRule="exact"/>
        <w:rPr>
          <w:sz w:val="20"/>
          <w:szCs w:val="20"/>
          <w:color w:val="auto"/>
        </w:rPr>
      </w:pPr>
    </w:p>
    <w:p>
      <w:pPr>
        <w:sectPr>
          <w:pgSz w:w="11900" w:h="16838" w:orient="portrait"/>
          <w:cols w:equalWidth="0" w:num="2">
            <w:col w:w="3680" w:space="720"/>
            <w:col w:w="6580"/>
          </w:cols>
          <w:pgMar w:left="460" w:top="45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BJDX</w:t>
      </w:r>
    </w:p>
    <w:p>
      <w:pPr>
        <w:spacing w:after="0" w:line="200" w:lineRule="exact"/>
        <w:rPr>
          <w:sz w:val="20"/>
          <w:szCs w:val="20"/>
          <w:color w:val="auto"/>
        </w:rPr>
      </w:pPr>
    </w:p>
    <w:p>
      <w:pPr>
        <w:sectPr>
          <w:pgSz w:w="11900" w:h="16838" w:orient="portrait"/>
          <w:cols w:equalWidth="0" w:num="2">
            <w:col w:w="3680" w:space="720"/>
            <w:col w:w="6580"/>
          </w:cols>
          <w:pgMar w:left="460" w:top="455" w:right="459" w:bottom="1440" w:gutter="0" w:footer="0" w:header="0"/>
          <w:type w:val="continuous"/>
        </w:sectPr>
      </w:pP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and evaluate all of the information contained in this prospectus and in the documents incorporated by reference in this prospectus before you decide to purchase our common stock. In particular, you should carefully consider and evaluate the risks and uncertainties described in “Part I – Item 1A. Risk Factors” of our most recent Annual Report on Form 10-K for the fiscal year ended December 31, 2025 and our Quarterly Report on Form 10-Q for the fiscal quarter ended March 31, 2026, which are each incorporated by reference into this prospectus, as updated by the additional risks and uncertainties set forth or incorporated by reference herein. Additional risks and uncertainties that we are unaware of or that we believe are not material at this time could also materially adversely affect our business, financial condition, or results of operations. Any of these risks and uncertainties could materially and adversely affect our business, results of operations, and financial condition, which in turn could materially and adversely affect the trading price or value of our common stock. As a result, you could lose all or part of your investment.</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herein by reference contain forward-looking statements which are made pursuant to the safe harbor provisions of Section 27A of the Securities Act of 1933, as amended, and Section 21E of the Securities Exchange Act of 1934, as amended, or the Exchange Act. In some cases, you can identify these statements by forward-looking words such as “may,” “might,” “should,” “would,” “could,” “expect,” “plan,” “anticipate,” “intend,”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We have included important factors in the cautionary statements included in this prospectus, particularly under “Risk Factors” on page 10 of this prospectus and the documents incorporated herein that we believe could cause actual results or events to differ materially from the forward-looking statements that we make.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we have identified material risks in our Annual Report on Form 10-K for the fiscal year ended December 31, 2025 and our Quarterly Report on Form 10-Q for the fiscal quarter ended March 31, 2026, which are each incorporated by reference in this prospectus, together with the information included in this prospectus and the documents incorporated by reference herein, and in any free writing prospectus that we have authorized for use in connection with this offering, these risks and uncertainties are not exhaustive. Other sections of this prospectus and the documents incorporated herein by reference may describe additional factors that could adversely impact our business and financial performance. Moreover, we operate in a very competitive and rapidly changing environment. New risks and uncertainties emerge from time to time, and it is not possible to predict all risks and uncertainties, nor can we assess the impact of all factors on our business or the extent to which any factor, or combination of factors, may cause actual results to differ materially from those contained in any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You should read this prospectus and any free writing prospectus and the documents that we have incorporated by reference to this prospectus and filed as exhibits to this prospectus completely and with the understanding that our actual future results may be materially different from what we expect.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caution you not to place undue reliance on the forward-looking statements, which speak only as of the date of this prospectus in the case of forward-looking statements contained in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Our actual results and financial condition may differ materially from those indicated in the forward-looking statements. We qualify all of our forward-looking statements by these cautionary statements. Although we believe that the expectations reflected in the forward-looking statements are reasonable, we cannot guarantee future results, levels of activity, performance or achievements. Therefore, you should not rely on any of the forward-looking statements. In addition, with respect to all of our forward-looking statements, we claim the protection of the safe harbor for forward-looking statements contained in the Private Securities Litigation Reform Act of 1995.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any forward-looking statements to reflect new information or future events or developments. You should not assume that our silence over time means that actual events are bearing out as expressed or implied in such forward-looking statements. Before deciding to purchase our securities, you should carefully consider the risk factors discussed and incorporated by reference in this prospectus and the documents incorporated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proceeds from any disposition of the Shares will be received by the Selling Stockholders. We will not receive any of the proceeds from any such Shares offered by this prospectus. We will, however, receive the net proceeds of any Warrants exercised for cash. We intend to use the net proceeds from the exercise of the Warrants to fund matters related to obtaining FDA approval, as well as for other research and development activities, potential additional clinical trials, manufacturing scale-up, and for general working capital needs. We have agreed to pay all costs, expenses, and fees relating to the registration of the Shares covered by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being offered by the Selling Stockholders are those issuable to the Selling Stockholders upon exercise of the Warrants. For additional information regarding the issuance of the Warrants, see “Prospectus Summary - June 2026 Private Placement” above. We are registering the Shares in order to permit the Selling Stockholders to offer the Shares for resale from time to time. The Selling Stockholders have not had any material relationship with us within the past three years, except for the ownership of our common stock and warrants to purchase our common stock and related agreements entered into in connection with the acquisition thereof.</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shares of our common stock by each of the Selling Stockholders. The second column lists the number of shares of our common stock beneficially owned by each Selling Stockholder, based on its ownership of shares of our common stock and warrants to purchase our common stock, as of June 17, 2026, assuming exercise of the warrants held by the Selling Stockholders on that date, without regard to any limitations on exercises. The percentage of beneficial ownership after this offering is based on 1,034,715 shares outstanding on June 17,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maximum number of shares of common stock issuable upon exercise of warrants issued to the Selling Stockholders in the “Prospectus Summary – June 2026 Private Placement” described above,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Warrants and other warrants held by Selling Stockholders,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our common stock issuable upon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2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Beneficial Ownership After</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Before This Offering</w:t>
            </w:r>
          </w:p>
        </w:tc>
        <w:tc>
          <w:tcPr>
            <w:tcW w:w="26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This Offering</w:t>
            </w: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Being Offered</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CCEEFF"/>
            </w:tcBorders>
          </w:tcPr>
          <w:p>
            <w:pPr>
              <w:spacing w:after="0"/>
              <w:rPr>
                <w:sz w:val="21"/>
                <w:szCs w:val="2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3i, LP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967,743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Alto Opportunity Master Fund, SPC – Segregated Master Portfolio B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967,743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Armistice Capital, LLC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4,169,678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3,225,807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943,871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Boothbay Absolute Return Strategies, LP </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774,869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774,195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Charles Worthman </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Wilson Drive Holdings LLC </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8,637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985,780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Intracoastal Capital LLC </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1,155,243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Kingsbrook Opportunities Master Fund LP </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193,789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193,548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Lincoln Alternative Strategies LLC </w:t>
            </w:r>
            <w:r>
              <w:rPr>
                <w:rFonts w:ascii="Times New Roman" w:cs="Times New Roman" w:eastAsia="Times New Roman" w:hAnsi="Times New Roman"/>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967,743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Lind Global Fund III LP </w:t>
            </w:r>
            <w:r>
              <w:rPr>
                <w:rFonts w:ascii="Times New Roman" w:cs="Times New Roman" w:eastAsia="Times New Roman" w:hAnsi="Times New Roman"/>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967,743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Augustus Trading LLC </w:t>
            </w:r>
            <w:r>
              <w:rPr>
                <w:rFonts w:ascii="Times New Roman" w:cs="Times New Roman" w:eastAsia="Times New Roman" w:hAnsi="Times New Roman"/>
                <w:sz w:val="29"/>
                <w:szCs w:val="29"/>
                <w:color w:val="auto"/>
                <w:vertAlign w:val="superscript"/>
              </w:rPr>
              <w:t>(12)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164,188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Noam Rubenstein </w:t>
            </w:r>
            <w:r>
              <w:rPr>
                <w:rFonts w:ascii="Times New Roman" w:cs="Times New Roman" w:eastAsia="Times New Roman" w:hAnsi="Times New Roman"/>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80,654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Stuywater Capital LLC </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967,743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967,743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4.99% ownership cap, (ii) 322,581 shares of common stock issuable upon the exercise of Series G Warrants subject to a 4.99% ownership cap, and (iii) 322,581 shares of common stock issuable upon the exercise of Series H Warrants subject to a 4.99% ownership cap.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9.99% ownership cap, (ii) 322,581 shares of common stock issuable upon the exercise of Series G Warrants subject to a 9.99% ownership cap, and (iii) 322,581 shares of common stock issuable upon the exercise of Series H Warrants subject to a 9.99% ownership cap.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Alto Opportunity Master Fund, SPC - Segregated Master Portfolio B and Mr. Khatri each disclaim any beneficial ownership of these shares. The address of Alto Opportunity Master Fund, SPC – Segregated Master Portfolio B is c/o Ayrton Capital LLC is 55 Post Rd West, 2nd Floor, Westport, CT 06880.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1,075,269 shares of common stock issuable upon the exercise of Pre-Funded Warrants subject to a 9.99% ownership cap, (ii) 1,075,269 shares of common stock issuable upon the exercise of Series G Warrants subject to a 4.99% ownership cap, and (iii) 1,075,269 shares of common stock issuable upon the exercise of Series H Warrants subject to a 4.99% ownership cap.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258,065 shares of common stock issuable upon the exercise of Pre-Funded Warrants subject to a 4.99% ownership cap, (ii) 258,065 shares of common stock issuable upon the exercise of Series G Warrants subject to a 4.99% ownership cap, and (iii) 258,065 shares of common stock issuable upon the exercise of Series H Warrants subject to a 4.99% ownership cap. Boothbay Absolute Return Strategies, LP, a Delaware limited partnership (“BBARS”), is managed by Boothbay Fund Management, LLC, a Delaware limited liability company (“Boothbay”). Boothbay, in its capacity as the investment manager of BBARS, has delegated to Kingsbrook Partners LP, a Delaware limited partnership, the power to vote and the power to direct the disposition of all securities held by BBARS that are being registered hereby. Ari Glass is the Managing Member of Boothbay. Each of BBARS, Boothbay and Mr. Glass disclaim beneficial ownership of these securities, except to the extent of any pecuniary interest therein. The address of Boothbay Absolute Return Strategies, LP is c/o Kingsbrook Partners LP, 689 Fifth Avenue, 12th Floor, New York, New York 10022.</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2,559 shares of common stock issuable upon the exercise of Placement Agent Warrants. Mr. Worthman is affiliated with H.C. Wainwright &amp; Co., LLC, a registered broker dealer with a registered address of c/o H.C. Wainwright &amp; Co., LLC, 430 Park Ave, 3rd Floor, New York, NY 10022, and has sole voting and dispositive power over the securities held.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8,637 shares of common stock issuable upon the exercise of Placement Agent Warrants. Craig Schwabe is the managing member of Wilson Drive Holdings LLC and has the power to vote and dispose of the securities held. Mr. Schwabe is affiliated with H.C. Wainwright &amp; Co. The securities were acquired in the ordinary course of business and, at the time the securities were acquired, the Selling Stockholder had no agreement or understanding, directly or indirectly, with any person to distribute such securities.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4.99% ownership cap, (ii) 322,581 shares of common stock issuable upon the exercise of Series G Warrants subject to a 4.99% ownership cap, and (iii) 322,581 shares of common stock issuable upon the exercise of Series H Warrants subject to a 4.99% ownership cap.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9.99% ownership cap, (ii) 322,581 shares of common stock issuable upon the exercise of Series G Warrants subject to a 4.99% ownership cap, and (iii) 322,581 shares of common stock issuable upon the exercise of Series H Warrants subject to a 4.99% ownership cap.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address of Intracoastal is 245 Palm Trail, Delray Beach, FL 33483.</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64,516 shares of common stock issuable upon the exercise of Pre-Funded Warrants subject to a 4.99% ownership cap, (ii) 64,516 shares of common stock issuable upon the exercise of Series G Warrants subject to a 4.99% ownership cap, and (iii) 64,516 shares of common stock issuable upon the exercise of Series H Warrants subject to a 4.99% ownership cap. Kingsbrook Partners LP (“Kingsbrook Partners”) is the investment manager of Kingsbrook Opportunities Master Fund LP (“Kingsbrook Opportunities”) and consequently has voting control and investment discretion over securities held by Kingsbrook Opportunities. Kingsbrook Opportunities GP LLC (“Opportunities GP”) is the general partner of Kingsbrook Opportunities and may be considered the beneficial owner of any securities deemed to be beneficially owned by Kingsbrook Opportunities. KB GP LLC (“GP LLC”) is the general partner of Kingsbrook Partners and may be considered the beneficial owner of any securities deemed to be beneficially owned by Kingsbrook Partners. Ari J. Storch, Adam J. Chill and Scott M. Wallace are the sole managing members of Opportunities GP and GP LLC and as a result may be considered beneficial owners of any securities deemed beneficially owned by Opportunities GP and GP LLC. Each of Kingsbrook Partners, Opportunities GP, GP LLC and Messrs. Storch, Chill and Wallace disclaim beneficial ownership of these securities. The address of Kingsbrook Opportunities is c/o Kingsbrook Partners LP, 689 Fifth Avenue, 12th Floor, New York, New York 10022.</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9.99% ownership cap, (ii) 322,581 shares of common stock issuable upon the exercise of Series G Warrants subject to a 9.99% ownership cap, and (iii) 322,581 shares of common stock issuable upon the exercise of Series H Warrants subject to a 9.99% ownership cap. The address of Lincoln Alternative Strategies LLC is 404 Washington Ave, Suite 660, Miami Beach, FL 33139.</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4.99% ownership cap, (ii) 322,581 shares of common stock issuable upon the exercise of Series G Warrants subject to a 4.99% ownership cap, and (iii) 322,581 shares of common stock issuable upon the exercise of Series H Warrants subject to a 4.99% ownership cap. The address of Lind Global Fund III LP is 444 Madison Avenue Fl 41, New York, NY 10022.</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164,105 shares of common stock issuable upon the exercise of Placement Agent Warrants. Orsium Capital LLC, the authorized agent to Augustus Trading LLC, has discretionary authority to vote and dispose of the securities held by Augustus Trading LLC and may be deemed to be the beneficial owner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80,613 shares of common stock issuable upon the exercise of Placement Agent Warrants and does not include the shares of common stock underlying warrants beneficially owned by Mr. Rubenstein through Stuywater Capital LLC (“Stuywater”). Mr. Rubenstein is affiliated with H.C. Wainwright &amp; Co., LLC, a registered broker dealer with a registered address of c/o H.C. Wainwright &amp; Co., LLC, 430 Park Ave, 3rd Floor, New York, NY 10022, and has sole voting and dispositive power over the securities held.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hereby include (i) 322,581 shares of common stock issuable upon the exercise of Pre-Funded Warrants subject to a 4.99% ownership cap, (ii) 322,581 shares of common stock issuable upon the exercise of Series G Warrants subject to a 4.99% ownership cap, and (iii) 322,581 shares of common stock issuable upon the exercise of Series H Warrants subject to a 4.99% ownership cap. Noam Rubenstein, the sole member of Stuywater, has sole voting control and investment discretion over the securities reported herein that are held by Stuywater. As a result, he may be deemed to have beneficial ownership (as determined under Section 13(d) of the Exchange Act) of the securities reported herein that are held by Stuywater. The address of Stuywater is 430 Park Ave, 3rd Floor, New York, NY 10022.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and any of their pledgees, assignees and successors-in-interest may, from time to time, sell any or all of their Shares covered hereby on the principal Trading Market or any other stock exchange, market or trading facility on which the Company’s common stock is traded or in private transactions. These sales may be at fixed or negotiated prices. A Selling Stockholder may use any one or more of the following methods when selling Shares:</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Shares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Selling Stockholder has informed the Company that it does not have any written or oral agreement or understanding, directly or indirectly, with any person to distribute the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Shares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Shares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is being passed upon for us by Hogan Lovells US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Wolf &amp; Company P.C., independent registered public accounting firm, has audited our consolidated financial statements included in our Annual Report on Form 10-K, for the year ended December 31, 2025, as set forth in their report (which contains an explanatory paragraph describing conditions that raise substantial doubt about our ability to continue as a going concern as described in Note 1 to the consolidated financial statements), which is incorporated by reference in this prospectus and elsewhere in the registration statement. Our financial statements are incorporated by reference in reliance on Wolf &amp; Company P.C.’s report, given 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001-41031. The documents incorporated by reference into this prospectus contain important information that you should read about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on March 6,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on May 7,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our </w:t>
      </w:r>
      <w:hyperlink r:id="rId5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filed on April 30, 2026 that are deemed “filed” with the SEC;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(other than portions thereof furnished under Item 2.02 or Item 7.01 of Form 8-K and exhibits accompanying such reports that relate to such items) filed with the SEC on </w:t>
      </w:r>
      <w:hyperlink r:id="rId52">
        <w:r>
          <w:rPr>
            <w:rFonts w:ascii="Times New Roman" w:cs="Times New Roman" w:eastAsia="Times New Roman" w:hAnsi="Times New Roman"/>
            <w:sz w:val="18"/>
            <w:szCs w:val="18"/>
            <w:u w:val="single" w:color="auto"/>
            <w:color w:val="0000EE"/>
          </w:rPr>
          <w:t>January 30, 2026</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2, 2026</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June 8, 2026</w:t>
        </w:r>
      </w:hyperlink>
      <w:r>
        <w:rPr>
          <w:rFonts w:ascii="Times New Roman" w:cs="Times New Roman" w:eastAsia="Times New Roman" w:hAnsi="Times New Roman"/>
          <w:sz w:val="18"/>
          <w:szCs w:val="18"/>
          <w:color w:val="auto"/>
        </w:rPr>
        <w:t xml:space="preserve">, and </w:t>
      </w:r>
      <w:hyperlink r:id="rId56">
        <w:r>
          <w:rPr>
            <w:rFonts w:ascii="Times New Roman" w:cs="Times New Roman" w:eastAsia="Times New Roman" w:hAnsi="Times New Roman"/>
            <w:sz w:val="18"/>
            <w:szCs w:val="18"/>
            <w:u w:val="single" w:color="auto"/>
            <w:color w:val="0000EE"/>
          </w:rPr>
          <w:t>June 9, 2026</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par value $0.0001 per share contained in its Registration Statement on </w:t>
      </w:r>
      <w:hyperlink r:id="rId57">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dated and filed with the SEC on November 5, 2021, as amended by the description of our common stock contained in </w:t>
      </w:r>
      <w:hyperlink r:id="rId58">
        <w:r>
          <w:rPr>
            <w:rFonts w:ascii="Times New Roman" w:cs="Times New Roman" w:eastAsia="Times New Roman" w:hAnsi="Times New Roman"/>
            <w:sz w:val="18"/>
            <w:szCs w:val="18"/>
            <w:u w:val="single" w:color="auto"/>
            <w:color w:val="0000EE"/>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including all amendments and reports updating that description.</w:t>
      </w:r>
    </w:p>
    <w:p>
      <w:pPr>
        <w:spacing w:after="0" w:line="176"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prospectus will be deemed to be modified or superseded for purposes of the document to the extent that a statement contained in this prospectus or any other subsequently filed document that is deemed to be incorporated by reference into this document modifies or supersedes the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oral or written requests by one of the following methods. Attention: Investor Relations, Bluejay Diagnostics, Inc., 360 Massachusetts Avenue, Suite 203, Acton, MA, 01720, (844) 327-7078. You may also access these documents, free of charge on the SEC’s website at www.sec.gov or on the “Investors” page of our website at www.bluejaydx.com. The information found on our website, or that may be accessed by links on our website, is not part of this prospectus. We have included our website address solely as an inactive textual reference. Investors should not rely on any such information in deciding whether to purchase our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filed with the SEC a registration statement under the Securities Act for the securities offered by this prospectus. This prospectus does not contain all of the information in the registration statement and the exhibits and schedule that were filed with the registration statement. For further information with respect to us and our securities, we refer you to the registration statement and the exhibits and schedule that were filed with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an Internet website at http://www.sec.gov that contains reports, proxy and information statements, and other information regarding registrants that file electronically with the SEC.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periodic reports and current reports under the Exchange Act, including Annual Reports on Form 10-K, Quarterly Reports on Form 10-Q and Current Reports on Form 8-K, and other information with the Securities and Exchange Commission. These periodic reports and other information are available for inspection and copying at the SEC regional offices, public reference facilities and on the website of the SEC referred to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 The information found on our website, www.bluejaydx.com, other than as specifically incorporated by reference in this prospectus, is not part of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expenses to be incurred in connection with the offering described in this registration statement, all of which will be paid by the Registrant. All amounts are estimates except the SEC registration fee.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provides, in general, that a Delaware corporation, in its certificate of incorporation, may limit the personal liability of a director or officer to the corporation or its stockholders for monetary damages for breach of fiduciary duties as a director or officer, except for liability for any:</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or officer derived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involved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director’s or officer’s duty of loyalty to the corporation or its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amended and restated certificate of incorporation provides for such limitations on liability for its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require us to indemnify and hold harmless, to the fullest extent permitted by applicable law as it presently exists or may hereafter be amended, any person (a “covered person”) who was or is made or is threatened to be made a party or is otherwise involved in any threatened, pending or completed action, suit or proceeding, whether civil, criminal, administrative or investigative (a “proceeding”) by reason of the fact that he or she is or was a director, officer or member of a committee of the Company, or, while a director or officer of the Company, is or was serving at the request of the Company as a director or officer, employee or agent of another corporation, partnership, joint venture, trust or other enterprise or non-profit entity, including service with respect to employee benefit plans, against all liability and loss suffered and expenses (including attorneys’ fees), judgment, fines and amounts paid in settlement actually and reasonably incurred by such covered person in connection with a proceeding.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our amended and restated bylaws, in certain circumstances, the Company shall pay the expenses (including attorneys’ fees) incurred by a covered person in defending a proceeding in advance of the final disposition of such proceeding; provided, however, that the Company shall not be required to advance any expenses to a person against whom the Company directly brings an action, suit or proceeding alleging that such person (1) committed an act or omission not in good faith or (2) committed an act of intentional misconduct or a knowing violation of law. Additionally, an advancement of expenses incurred by a covered person shall be made only upon delivery to the Company of an undertaking, by or on behalf of such covered person, to repay all amounts so advanced if it shall ultimately be determined by final judicial decision from which there is no further right to appeal or otherwise in accordance with Delaware law that such covered person is not entitled to be indemnified for such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6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9"/>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Filed with</w:t>
            </w:r>
          </w:p>
        </w:tc>
        <w:tc>
          <w:tcPr>
            <w:tcW w:w="26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this Form S-3   Form</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76"/>
        </w:trPr>
        <w:tc>
          <w:tcPr>
            <w:tcW w:w="9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5500" w:type="dxa"/>
            <w:vAlign w:val="bottom"/>
            <w:tcBorders>
              <w:top w:val="single" w:sz="8" w:color="auto"/>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Certificate of Incorporation</w:t>
              </w:r>
            </w:hyperlink>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333-260029</w:t>
            </w: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10/25/2021</w:t>
            </w:r>
          </w:p>
        </w:tc>
      </w:tr>
      <w:tr>
        <w:trPr>
          <w:trHeight w:val="236"/>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Borders>
              <w:top w:val="single" w:sz="8" w:color="CCEEFF"/>
            </w:tcBorders>
            <w:shd w:val="clear" w:color="auto" w:fill="CCEEFF"/>
          </w:tcPr>
          <w:p>
            <w:pPr>
              <w:spacing w:after="0"/>
              <w:rPr>
                <w:sz w:val="20"/>
                <w:szCs w:val="20"/>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07/21/2023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Incorporation</w:t>
              </w:r>
            </w:hyperlink>
          </w:p>
        </w:tc>
        <w:tc>
          <w:tcPr>
            <w:tcW w:w="1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05/16//2024</w:t>
            </w:r>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Incorporation</w:t>
              </w:r>
            </w:hyperlink>
          </w:p>
        </w:tc>
        <w:tc>
          <w:tcPr>
            <w:tcW w:w="120" w:type="dxa"/>
            <w:vAlign w:val="bottom"/>
            <w:tcBorders>
              <w:top w:val="single" w:sz="8" w:color="CCEEFF"/>
            </w:tcBorders>
            <w:gridSpan w:val="3"/>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Borders>
              <w:top w:val="single" w:sz="8" w:color="CCEEFF"/>
            </w:tcBorders>
            <w:shd w:val="clear" w:color="auto" w:fill="CCEEFF"/>
          </w:tcPr>
          <w:p>
            <w:pPr>
              <w:spacing w:after="0"/>
              <w:rPr>
                <w:sz w:val="17"/>
                <w:szCs w:val="17"/>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06/20/2024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Incorporation</w:t>
              </w:r>
            </w:hyperlink>
          </w:p>
        </w:tc>
        <w:tc>
          <w:tcPr>
            <w:tcW w:w="1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08/28/2024</w:t>
            </w:r>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Incorporation</w:t>
              </w:r>
            </w:hyperlink>
          </w:p>
        </w:tc>
        <w:tc>
          <w:tcPr>
            <w:tcW w:w="120" w:type="dxa"/>
            <w:vAlign w:val="bottom"/>
            <w:tcBorders>
              <w:top w:val="single" w:sz="8" w:color="CCEEFF"/>
            </w:tcBorders>
            <w:gridSpan w:val="3"/>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Borders>
              <w:top w:val="single" w:sz="8" w:color="CCEEFF"/>
            </w:tcBorders>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11/18/2024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Incorporation</w:t>
              </w:r>
            </w:hyperlink>
          </w:p>
        </w:tc>
        <w:tc>
          <w:tcPr>
            <w:tcW w:w="1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Amendment to the Amended and Restated Certificate of</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01/30/2026</w:t>
            </w:r>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Incorporation</w:t>
              </w:r>
            </w:hyperlink>
          </w:p>
        </w:tc>
        <w:tc>
          <w:tcPr>
            <w:tcW w:w="120" w:type="dxa"/>
            <w:vAlign w:val="bottom"/>
            <w:tcBorders>
              <w:top w:val="single" w:sz="8" w:color="CCEEFF"/>
            </w:tcBorders>
            <w:gridSpan w:val="3"/>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Borders>
              <w:top w:val="single" w:sz="8" w:color="CCEEFF"/>
            </w:tcBorders>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Bylaws</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333-260029</w:t>
            </w:r>
          </w:p>
        </w:tc>
        <w:tc>
          <w:tcPr>
            <w:tcW w:w="120" w:type="dxa"/>
            <w:vAlign w:val="bottom"/>
          </w:tcPr>
          <w:p>
            <w:pPr>
              <w:spacing w:after="0"/>
              <w:rPr>
                <w:sz w:val="15"/>
                <w:szCs w:val="15"/>
                <w:color w:val="auto"/>
              </w:rPr>
            </w:pPr>
          </w:p>
        </w:tc>
        <w:tc>
          <w:tcPr>
            <w:tcW w:w="122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10/25/2021</w:t>
            </w: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3.2</w:t>
            </w:r>
          </w:p>
        </w:tc>
        <w:tc>
          <w:tcPr>
            <w:tcW w:w="1220" w:type="dxa"/>
            <w:vAlign w:val="bottom"/>
          </w:tcPr>
          <w:p>
            <w:pPr>
              <w:spacing w:after="0"/>
              <w:rPr>
                <w:sz w:val="20"/>
                <w:szCs w:val="20"/>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Amendment No. 1 to Amended and Restated Bylaws</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10/16/2024</w:t>
            </w:r>
          </w:p>
        </w:tc>
      </w:tr>
      <w:tr>
        <w:trPr>
          <w:trHeight w:val="237"/>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3.1</w:t>
            </w:r>
          </w:p>
        </w:tc>
        <w:tc>
          <w:tcPr>
            <w:tcW w:w="1220" w:type="dxa"/>
            <w:vAlign w:val="bottom"/>
            <w:tcBorders>
              <w:top w:val="single" w:sz="8" w:color="CCEEFF"/>
            </w:tcBorders>
            <w:shd w:val="clear" w:color="auto" w:fill="CCEEFF"/>
          </w:tcPr>
          <w:p>
            <w:pPr>
              <w:spacing w:after="0"/>
              <w:rPr>
                <w:sz w:val="20"/>
                <w:szCs w:val="20"/>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Specimen Common Stock Certificate</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333-260029</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10/25/2021</w:t>
            </w: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4.1</w:t>
            </w:r>
          </w:p>
        </w:tc>
        <w:tc>
          <w:tcPr>
            <w:tcW w:w="1220" w:type="dxa"/>
            <w:vAlign w:val="bottom"/>
          </w:tcPr>
          <w:p>
            <w:pPr>
              <w:spacing w:after="0"/>
              <w:rPr>
                <w:sz w:val="20"/>
                <w:szCs w:val="20"/>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Pre-Funded Warrant</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7"/>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4.1</w:t>
            </w:r>
          </w:p>
        </w:tc>
        <w:tc>
          <w:tcPr>
            <w:tcW w:w="1220" w:type="dxa"/>
            <w:vAlign w:val="bottom"/>
            <w:tcBorders>
              <w:top w:val="single" w:sz="8" w:color="CCEEFF"/>
            </w:tcBorders>
            <w:shd w:val="clear" w:color="auto" w:fill="CCEEFF"/>
          </w:tcPr>
          <w:p>
            <w:pPr>
              <w:spacing w:after="0"/>
              <w:rPr>
                <w:sz w:val="20"/>
                <w:szCs w:val="20"/>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Series G Warrant</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4.2</w:t>
            </w:r>
          </w:p>
        </w:tc>
        <w:tc>
          <w:tcPr>
            <w:tcW w:w="1220" w:type="dxa"/>
            <w:vAlign w:val="bottom"/>
          </w:tcPr>
          <w:p>
            <w:pPr>
              <w:spacing w:after="0"/>
              <w:rPr>
                <w:sz w:val="20"/>
                <w:szCs w:val="20"/>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Series H Warrant</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6"/>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4.3</w:t>
            </w:r>
          </w:p>
        </w:tc>
        <w:tc>
          <w:tcPr>
            <w:tcW w:w="1220" w:type="dxa"/>
            <w:vAlign w:val="bottom"/>
            <w:tcBorders>
              <w:top w:val="single" w:sz="8" w:color="CCEEFF"/>
            </w:tcBorders>
            <w:shd w:val="clear" w:color="auto" w:fill="CCEEFF"/>
          </w:tcPr>
          <w:p>
            <w:pPr>
              <w:spacing w:after="0"/>
              <w:rPr>
                <w:sz w:val="20"/>
                <w:szCs w:val="20"/>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Placement Agent Warrant</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6"/>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Exhibit 4.4</w:t>
            </w:r>
          </w:p>
        </w:tc>
        <w:tc>
          <w:tcPr>
            <w:tcW w:w="1220" w:type="dxa"/>
            <w:vAlign w:val="bottom"/>
          </w:tcPr>
          <w:p>
            <w:pPr>
              <w:spacing w:after="0"/>
              <w:rPr>
                <w:sz w:val="20"/>
                <w:szCs w:val="20"/>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Hogan Lovells US LLP</w:t>
            </w:r>
          </w:p>
        </w:tc>
        <w:tc>
          <w:tcPr>
            <w:tcW w:w="1940" w:type="dxa"/>
            <w:vAlign w:val="bottom"/>
            <w:gridSpan w:val="4"/>
            <w:shd w:val="clear" w:color="auto" w:fill="CCEEFF"/>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Securities Purchase Agreement</w:t>
              </w:r>
            </w:hyperlink>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6"/>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Exhibit 10.1</w:t>
            </w:r>
          </w:p>
        </w:tc>
        <w:tc>
          <w:tcPr>
            <w:tcW w:w="1220" w:type="dxa"/>
            <w:vAlign w:val="bottom"/>
          </w:tcPr>
          <w:p>
            <w:pPr>
              <w:spacing w:after="0"/>
              <w:rPr>
                <w:sz w:val="20"/>
                <w:szCs w:val="20"/>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55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Registration Rights Agreement</w:t>
              </w:r>
            </w:hyperlink>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06/08/2026</w:t>
            </w:r>
          </w:p>
        </w:tc>
      </w:tr>
      <w:tr>
        <w:trPr>
          <w:trHeight w:val="237"/>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Exhibit 10.2</w:t>
            </w:r>
          </w:p>
        </w:tc>
        <w:tc>
          <w:tcPr>
            <w:tcW w:w="1220" w:type="dxa"/>
            <w:vAlign w:val="bottom"/>
            <w:tcBorders>
              <w:top w:val="single" w:sz="8" w:color="CCEEFF"/>
            </w:tcBorders>
            <w:shd w:val="clear" w:color="auto" w:fill="CCEEFF"/>
          </w:tcPr>
          <w:p>
            <w:pPr>
              <w:spacing w:after="0"/>
              <w:rPr>
                <w:sz w:val="20"/>
                <w:szCs w:val="20"/>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5480" w:type="dxa"/>
            <w:vAlign w:val="bottom"/>
            <w:tcBorders>
              <w:bottom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Engagement Letter, entered into on April 11, 2026, between Bluejay</w:t>
            </w:r>
          </w:p>
        </w:tc>
        <w:tc>
          <w:tcPr>
            <w:tcW w:w="100" w:type="dxa"/>
            <w:vAlign w:val="bottom"/>
            <w:gridSpan w:val="2"/>
          </w:tcPr>
          <w:p>
            <w:pPr>
              <w:spacing w:after="0"/>
              <w:rPr>
                <w:sz w:val="15"/>
                <w:szCs w:val="15"/>
                <w:color w:val="auto"/>
              </w:rPr>
            </w:pPr>
          </w:p>
        </w:tc>
        <w:tc>
          <w:tcPr>
            <w:tcW w:w="1940" w:type="dxa"/>
            <w:vAlign w:val="bottom"/>
            <w:gridSpan w:val="4"/>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Diagnostics, Inc. and H.C. Wainwright &amp; Co.</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Wolf &amp; Company, P.C.</w:t>
            </w:r>
          </w:p>
        </w:tc>
        <w:tc>
          <w:tcPr>
            <w:tcW w:w="3080" w:type="dxa"/>
            <w:vAlign w:val="bottom"/>
            <w:tcBorders>
              <w:bottom w:val="single" w:sz="8" w:color="CCEEFF"/>
            </w:tcBorders>
            <w:gridSpan w:val="12"/>
            <w:shd w:val="clear" w:color="auto" w:fill="CCEEFF"/>
          </w:tcPr>
          <w:p>
            <w:pPr>
              <w:spacing w:after="0"/>
              <w:rPr>
                <w:sz w:val="17"/>
                <w:szCs w:val="17"/>
                <w:color w:val="auto"/>
              </w:rPr>
            </w:pPr>
          </w:p>
        </w:tc>
        <w:tc>
          <w:tcPr>
            <w:tcW w:w="1940" w:type="dxa"/>
            <w:vAlign w:val="bottom"/>
            <w:tcBorders>
              <w:bottom w:val="single" w:sz="8" w:color="CCEEFF"/>
            </w:tcBorders>
            <w:gridSpan w:val="4"/>
            <w:shd w:val="clear" w:color="auto" w:fill="CCEEFF"/>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55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Consent of Hogan Lovells US LLP (included in Exhibit 5.1)</w:t>
            </w:r>
          </w:p>
        </w:tc>
        <w:tc>
          <w:tcPr>
            <w:tcW w:w="1940" w:type="dxa"/>
            <w:vAlign w:val="bottom"/>
            <w:gridSpan w:val="4"/>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7"/>
                <w:szCs w:val="17"/>
                <w:color w:val="auto"/>
              </w:rPr>
            </w:pPr>
          </w:p>
        </w:tc>
        <w:tc>
          <w:tcPr>
            <w:tcW w:w="55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1940" w:type="dxa"/>
            <w:vAlign w:val="bottom"/>
            <w:gridSpan w:val="4"/>
            <w:shd w:val="clear" w:color="auto" w:fill="CCEEFF"/>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tcPr>
          <w:p>
            <w:pPr>
              <w:spacing w:after="0"/>
              <w:rPr>
                <w:sz w:val="15"/>
                <w:szCs w:val="15"/>
                <w:color w:val="auto"/>
              </w:rPr>
            </w:pPr>
          </w:p>
        </w:tc>
        <w:tc>
          <w:tcPr>
            <w:tcW w:w="128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2160" w:type="dxa"/>
            <w:vAlign w:val="bottom"/>
            <w:tcBorders>
              <w:top w:val="single" w:sz="8" w:color="0000EE"/>
            </w:tcBorders>
            <w:gridSpan w:val="9"/>
          </w:tcPr>
          <w:p>
            <w:pPr>
              <w:spacing w:after="0"/>
              <w:rPr>
                <w:sz w:val="15"/>
                <w:szCs w:val="15"/>
                <w:color w:val="auto"/>
              </w:rPr>
            </w:pPr>
          </w:p>
        </w:tc>
        <w:tc>
          <w:tcPr>
            <w:tcW w:w="2140" w:type="dxa"/>
            <w:vAlign w:val="bottom"/>
            <w:tcBorders>
              <w:top w:val="single" w:sz="8" w:color="CCEEFF"/>
            </w:tcBorders>
            <w:gridSpan w:val="7"/>
          </w:tcPr>
          <w:p>
            <w:pPr>
              <w:spacing w:after="0"/>
              <w:rPr>
                <w:sz w:val="15"/>
                <w:szCs w:val="15"/>
                <w:color w:val="auto"/>
              </w:rPr>
            </w:pPr>
          </w:p>
        </w:tc>
        <w:tc>
          <w:tcPr>
            <w:tcW w:w="1940" w:type="dxa"/>
            <w:vAlign w:val="bottom"/>
            <w:tcBorders>
              <w:top w:val="single" w:sz="8" w:color="CCEEFF"/>
            </w:tcBorders>
            <w:gridSpan w:val="4"/>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6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right="20" w:firstLine="980"/>
        <w:spacing w:after="0" w:line="282" w:lineRule="auto"/>
        <w:tabs>
          <w:tab w:leader="none" w:pos="129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656"/>
        <w:spacing w:after="0" w:line="266" w:lineRule="auto"/>
        <w:tabs>
          <w:tab w:leader="none" w:pos="9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920" w:hanging="264"/>
        <w:spacing w:after="0"/>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18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980"/>
        <w:spacing w:after="0" w:line="253" w:lineRule="auto"/>
        <w:tabs>
          <w:tab w:leader="none" w:pos="125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4" w:lineRule="exact"/>
        <w:rPr>
          <w:rFonts w:ascii="Times New Roman" w:cs="Times New Roman" w:eastAsia="Times New Roman" w:hAnsi="Times New Roman"/>
          <w:sz w:val="18"/>
          <w:szCs w:val="18"/>
          <w:color w:val="auto"/>
        </w:rPr>
      </w:pPr>
    </w:p>
    <w:p>
      <w:pPr>
        <w:jc w:val="both"/>
        <w:ind w:firstLine="332"/>
        <w:spacing w:after="0" w:line="261" w:lineRule="auto"/>
        <w:tabs>
          <w:tab w:leader="none" w:pos="5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jc w:val="both"/>
        <w:ind w:firstLine="332"/>
        <w:spacing w:after="0" w:line="255" w:lineRule="auto"/>
        <w:tabs>
          <w:tab w:leader="none" w:pos="5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Acton, State of Massachusetts, on June 17,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Neil Dey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Indranil “Neil” Dey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 in fact and agent or his substitute or substitutes may lawfully do or cause to be done by virtue hereof.</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6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Dey</w:t>
            </w:r>
          </w:p>
        </w:tc>
        <w:tc>
          <w:tcPr>
            <w:tcW w:w="120" w:type="dxa"/>
            <w:vAlign w:val="bottom"/>
          </w:tcPr>
          <w:p>
            <w:pPr>
              <w:spacing w:after="0"/>
              <w:rPr>
                <w:sz w:val="24"/>
                <w:szCs w:val="24"/>
                <w:color w:val="auto"/>
              </w:rPr>
            </w:pP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184"/>
        </w:trPr>
        <w:tc>
          <w:tcPr>
            <w:tcW w:w="39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Neil Dey</w:t>
            </w:r>
          </w:p>
        </w:tc>
        <w:tc>
          <w:tcPr>
            <w:tcW w:w="120" w:type="dxa"/>
            <w:vAlign w:val="bottom"/>
          </w:tcPr>
          <w:p>
            <w:pPr>
              <w:spacing w:after="0"/>
              <w:rPr>
                <w:sz w:val="16"/>
                <w:szCs w:val="16"/>
                <w:color w:val="auto"/>
              </w:rPr>
            </w:pPr>
          </w:p>
        </w:tc>
        <w:tc>
          <w:tcPr>
            <w:tcW w:w="538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(principal executive officer, principal financial officer</w:t>
            </w:r>
          </w:p>
        </w:tc>
        <w:tc>
          <w:tcPr>
            <w:tcW w:w="18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1800" w:type="dxa"/>
            <w:vAlign w:val="bottom"/>
          </w:tcPr>
          <w:p>
            <w:pPr>
              <w:spacing w:after="0"/>
              <w:rPr>
                <w:sz w:val="20"/>
                <w:szCs w:val="20"/>
                <w:color w:val="auto"/>
              </w:rPr>
            </w:pP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R. Chase</w:t>
            </w:r>
          </w:p>
        </w:tc>
        <w:tc>
          <w:tcPr>
            <w:tcW w:w="120" w:type="dxa"/>
            <w:vAlign w:val="bottom"/>
          </w:tcPr>
          <w:p>
            <w:pPr>
              <w:spacing w:after="0"/>
              <w:rPr>
                <w:sz w:val="24"/>
                <w:szCs w:val="24"/>
                <w:color w:val="auto"/>
              </w:rPr>
            </w:pP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Donald R. Chase</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Svetlana Dey</w:t>
            </w:r>
          </w:p>
        </w:tc>
        <w:tc>
          <w:tcPr>
            <w:tcW w:w="120" w:type="dxa"/>
            <w:vAlign w:val="bottom"/>
          </w:tcPr>
          <w:p>
            <w:pPr>
              <w:spacing w:after="0"/>
              <w:rPr>
                <w:sz w:val="24"/>
                <w:szCs w:val="24"/>
                <w:color w:val="auto"/>
              </w:rPr>
            </w:pPr>
          </w:p>
        </w:tc>
        <w:tc>
          <w:tcPr>
            <w:tcW w:w="5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Svetlana Dey</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Wurth</w:t>
            </w:r>
          </w:p>
        </w:tc>
        <w:tc>
          <w:tcPr>
            <w:tcW w:w="120" w:type="dxa"/>
            <w:vAlign w:val="bottom"/>
          </w:tcPr>
          <w:p>
            <w:pPr>
              <w:spacing w:after="0"/>
              <w:rPr>
                <w:sz w:val="24"/>
                <w:szCs w:val="24"/>
                <w:color w:val="auto"/>
              </w:rPr>
            </w:pPr>
          </w:p>
        </w:tc>
        <w:tc>
          <w:tcPr>
            <w:tcW w:w="5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Douglas Wurth</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 S. Zeidman</w:t>
            </w:r>
          </w:p>
        </w:tc>
        <w:tc>
          <w:tcPr>
            <w:tcW w:w="120" w:type="dxa"/>
            <w:vAlign w:val="bottom"/>
          </w:tcPr>
          <w:p>
            <w:pPr>
              <w:spacing w:after="0"/>
              <w:rPr>
                <w:sz w:val="24"/>
                <w:szCs w:val="24"/>
                <w:color w:val="auto"/>
              </w:rPr>
            </w:pPr>
          </w:p>
        </w:tc>
        <w:tc>
          <w:tcPr>
            <w:tcW w:w="5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Fred S. Zeidman</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849"/>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II-5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2960" cy="822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Columbia Square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555 Thirteenth Street, NW</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 +1 202 637 5600</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 +1 202 637 5910</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 Massachusetts Avenue, Suite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Acton, MA 01720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referred to above:</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acting as counsel to Bluejay Diagnostics,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proposed public offering by the selling stockholders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listed in the Registration Statement of (i) 3,655,917 shares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to certain of the Selling Stockholders upon the exercise of pre-funded warrants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(ii) 3,655,917 shares of Common Stock issuable to certain of the Selling Stockholders upon the exercise of series G warrants (“</w:t>
      </w:r>
      <w:r>
        <w:rPr>
          <w:rFonts w:ascii="Times New Roman" w:cs="Times New Roman" w:eastAsia="Times New Roman" w:hAnsi="Times New Roman"/>
          <w:sz w:val="18"/>
          <w:szCs w:val="18"/>
          <w:b w:val="1"/>
          <w:bCs w:val="1"/>
          <w:color w:val="auto"/>
        </w:rPr>
        <w:t>Series G Warrants</w:t>
      </w:r>
      <w:r>
        <w:rPr>
          <w:rFonts w:ascii="Times New Roman" w:cs="Times New Roman" w:eastAsia="Times New Roman" w:hAnsi="Times New Roman"/>
          <w:sz w:val="18"/>
          <w:szCs w:val="18"/>
          <w:color w:val="auto"/>
        </w:rPr>
        <w:t>”), (iii) 3,655,917 shares of Common Stock issuable to certain of the Selling Stockholders upon the exercise of series H warrants (“</w:t>
      </w:r>
      <w:r>
        <w:rPr>
          <w:rFonts w:ascii="Times New Roman" w:cs="Times New Roman" w:eastAsia="Times New Roman" w:hAnsi="Times New Roman"/>
          <w:sz w:val="18"/>
          <w:szCs w:val="18"/>
          <w:b w:val="1"/>
          <w:bCs w:val="1"/>
          <w:color w:val="auto"/>
        </w:rPr>
        <w:t>Series H Warrants</w:t>
      </w:r>
      <w:r>
        <w:rPr>
          <w:rFonts w:ascii="Times New Roman" w:cs="Times New Roman" w:eastAsia="Times New Roman" w:hAnsi="Times New Roman"/>
          <w:sz w:val="18"/>
          <w:szCs w:val="18"/>
          <w:color w:val="auto"/>
        </w:rPr>
        <w:t>”), and (iv) 255,915 shares of Common Stock issuable to certain of the Selling Stockholders upon the exercise of placement agent warrants (“</w:t>
      </w:r>
      <w:r>
        <w:rPr>
          <w:rFonts w:ascii="Times New Roman" w:cs="Times New Roman" w:eastAsia="Times New Roman" w:hAnsi="Times New Roman"/>
          <w:sz w:val="18"/>
          <w:szCs w:val="18"/>
          <w:b w:val="1"/>
          <w:bCs w:val="1"/>
          <w:color w:val="auto"/>
        </w:rPr>
        <w:t>Placement Agent Warrants</w:t>
      </w:r>
      <w:r>
        <w:rPr>
          <w:rFonts w:ascii="Times New Roman" w:cs="Times New Roman" w:eastAsia="Times New Roman" w:hAnsi="Times New Roman"/>
          <w:sz w:val="18"/>
          <w:szCs w:val="18"/>
          <w:color w:val="auto"/>
        </w:rPr>
        <w:t>” and, together with the Pre-Funded Warrants, the Series G Warrants and the Series H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all of which may be sold from time to time and on a delayed or continuous basis, as set forth in the prospectus which forms a part of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as to be set forth in one or more supplements to the Prospectus. The shares of Common Stock issuable upon exercise of the Warrants are referred to herein as the “Shares.” This opinion letter is furnished to you at your request to enable you to fulfill the requirements of Item 601(b)(5) of Regulation S-K, 17 C.F.R. § 229.601(b)(5), in connection with the Registration Statement.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We have also assumed that upon the issuance of the Shares, the total number of shares of Common Stock issued and outstanding will not exceed the total number of shares of Common Stock that the Company is then authorized to issue under its certificate of incorporation. This opinion letter is given, and all statements herein are made, in the context of the foregoing.</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43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- 2 -</w:t>
            </w:r>
          </w:p>
        </w:tc>
        <w:tc>
          <w:tcPr>
            <w:tcW w:w="31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June 17, 2026</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Bluejay Diagnostics, Inc.</w:t>
            </w:r>
          </w:p>
        </w:tc>
        <w:tc>
          <w:tcPr>
            <w:tcW w:w="434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applicable provisions of the Delaware General Corporation Law, as amended. We express no opinion herein as to any other statutes, rules or regulations.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as of the date hereof, (i) the Shares have been duly authorized by all necessary corporate action on the part of the Company and (ii) following (a) exercise of the Warrants in accordance with their terms, (b) receipt by the Company of the exercise price for the Shares as specified in the applicable Warrants, and (c) issuance of the Shares thereunder, the Shares will be validly issued, fully paid, and nonassessable.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this firm under the caption “Legal Matters” in the Prospectus. In giving this consent, we do not thereby admit that we are an “expert” within the meaning of the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Hogan Lovells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156845</wp:posOffset>
            </wp:positionV>
            <wp:extent cx="4431665"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44316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 Massachusetts Avenue, Suite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Acton, MA 01720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Neil Dey, President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Dey: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constitutes the agreement between Bluejay Diagnostics,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that Wainwright shall serve as the exclusive underwriter, agent or advisor in any offering (each, an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securities of the Company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during the Term (as hereinafter defined) of this Agreement. The terms of each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an Offering.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underwriters, brokers, dealers or agents on its behalf in connection with an Offering. Notwithstanding the foregoing, Wainwright’s exclusivity shall not apply to (and the Company shall not be required to pay any fee to Wainwright) in respect of the Company’s issuing and selling securities in any strategic transaction or strategic relationship, such as commercial relationships, consulting agreements, licenses, partnerships, joint ventures, collaborations, mergers, acquisitions or other business combinations or otherwise, the primary purpose of which is not to raise capital, or as part of any compensation or consulting arrangement, such as issuances of securities under a long-term incentive plan or employee stock purchase plan (collectively, the “</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Compensation; Reimbursement</w:t>
      </w:r>
      <w:r>
        <w:rPr>
          <w:rFonts w:ascii="Times New Roman" w:cs="Times New Roman" w:eastAsia="Times New Roman" w:hAnsi="Times New Roman"/>
          <w:sz w:val="18"/>
          <w:szCs w:val="18"/>
          <w:color w:val="auto"/>
        </w:rPr>
        <w:t>. The Company shall compensate Wainwright as follows: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Fee</w:t>
      </w:r>
      <w:r>
        <w:rPr>
          <w:rFonts w:ascii="Times New Roman" w:cs="Times New Roman" w:eastAsia="Times New Roman" w:hAnsi="Times New Roman"/>
          <w:sz w:val="18"/>
          <w:szCs w:val="18"/>
          <w:color w:val="auto"/>
        </w:rPr>
        <w:t>. The Company shall pay Wainwright a cash fee, or as to an underwritten Offering an underwriter discount, equal to 7.0%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gross proceeds raised at each closing of each Offering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In addition, upon the exercise for cash of any privately-placed, unregistered warrants issued to investors in an Offering, the Company shall pay Wainwright, within five (5) business days of the Company’s receipt of the exercise price, (i) a cash fee of 7.0% of the aggregate gross exercise price paid in cash with respect thereto; and (ii) a management fee of 1.0% of the aggregate gross exercise price paid in cash with respect thereto.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430 Park Avenue | New York, New York 10022 | 212.356.0500 | www.hcwco.com</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both"/>
        <w:ind w:left="324" w:hanging="324"/>
        <w:spacing w:after="0" w:line="25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Coverage</w:t>
      </w:r>
      <w:r>
        <w:rPr>
          <w:rFonts w:ascii="Times New Roman" w:cs="Times New Roman" w:eastAsia="Times New Roman" w:hAnsi="Times New Roman"/>
          <w:sz w:val="18"/>
          <w:szCs w:val="18"/>
          <w:color w:val="auto"/>
        </w:rPr>
        <w:t>. The Company shall issue to Wainwright or its designees at each Closing, warrants (the “</w:t>
      </w:r>
      <w:r>
        <w:rPr>
          <w:rFonts w:ascii="Times New Roman" w:cs="Times New Roman" w:eastAsia="Times New Roman" w:hAnsi="Times New Roman"/>
          <w:sz w:val="18"/>
          <w:szCs w:val="18"/>
          <w:u w:val="single" w:color="auto"/>
          <w:color w:val="auto"/>
        </w:rPr>
        <w:t>Wainwright Warrants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that number of shares of common stock of the Company equal to 7.0% of the aggregate number of shares of common stock (or common stock equivalent, if applicable) placed in each Offering (and if an Offering includes a “greenshoe” or “additional investment” component, such number of shares of common stock underlying such “greenshoe” or “additional investment” component, with the Wainwright Warrants issuable upon the exercise of such component). If the Securities included in an Offering are convertible, the Wainwright Warrants shall be determined by dividing the gross proceeds raised in such Offering by the Offering Price (as defined hereunder). The Wainwright Warrants shall be in a customary form reasonably acceptable to Wainwright, have a term of five (5) years and an exercise price equal to 125% of the offering price per share (or unit, if applicable) in the applicable Offering and if such offering price is not available, the market price of the common stock on the date an Offering is commenced (such price, the “</w:t>
      </w:r>
      <w:r>
        <w:rPr>
          <w:rFonts w:ascii="Times New Roman" w:cs="Times New Roman" w:eastAsia="Times New Roman" w:hAnsi="Times New Roman"/>
          <w:sz w:val="18"/>
          <w:szCs w:val="18"/>
          <w:u w:val="single" w:color="auto"/>
          <w:color w:val="auto"/>
        </w:rPr>
        <w:t>Offering Price</w:t>
      </w:r>
      <w:r>
        <w:rPr>
          <w:rFonts w:ascii="Times New Roman" w:cs="Times New Roman" w:eastAsia="Times New Roman" w:hAnsi="Times New Roman"/>
          <w:sz w:val="18"/>
          <w:szCs w:val="18"/>
          <w:color w:val="auto"/>
        </w:rPr>
        <w:t>”). If warrants are issued to investors in an Offering, the Wainwright Warrants shall have the same terms as the warrants issued to investors in the applicable Offering (other than pre-funded warrants), except that such Wainwright Warrants shall have an exercise price equal to 125% of the Offering Price. In addition, upon the exercise for cash of any privately-placed, unregistered warrants issued to investors in an Offering, the Company shall issue to Wainwright (or its designees), within five (5) business days of the Company’s receipt of the exercise price, the Wainwright Warrants to purchase that number of shares of common stock of the Company equal to 7.0% of the aggregate number of such shares of common stock underlying such warrants that have been so exercised and such Wainwright Warrants will be in the same form and terms as the Wainwright Warrants originally issued in the applicable Offering.</w:t>
      </w:r>
    </w:p>
    <w:p>
      <w:pPr>
        <w:spacing w:after="0" w:line="194"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 Allowance</w:t>
      </w:r>
      <w:r>
        <w:rPr>
          <w:rFonts w:ascii="Times New Roman" w:cs="Times New Roman" w:eastAsia="Times New Roman" w:hAnsi="Times New Roman"/>
          <w:sz w:val="18"/>
          <w:szCs w:val="18"/>
          <w:color w:val="auto"/>
        </w:rPr>
        <w:t>. Out of the proceeds of each Closing, the Company also agrees to pay Wainwright (a) a management fee equal to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gross proceeds raised in each Offering; (b) $35,000 for non-accountable expenses (to be increased to $50,000 in case a public Offering is contemplated or consummated); (c) up to $50,000 for reasonable and invoiced fees and expenses of legal counsel and other reasonable and documented out-of-pocket expenses (to be increased to $100,000 in case a public Offering is contemplated or consummated); plus the additional amount payable by the Company pursuant to Paragraph D.3 hereunder and, if applicable, the costs associated with the use of a third-party electronic road show service (such as NetRoadshow); provided, however, that such amounts in no way limit or impair the indemnification and contribution provisions of this Agreement.</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Tail</w:t>
      </w:r>
      <w:r>
        <w:rPr>
          <w:rFonts w:ascii="Times New Roman" w:cs="Times New Roman" w:eastAsia="Times New Roman" w:hAnsi="Times New Roman"/>
          <w:sz w:val="18"/>
          <w:szCs w:val="18"/>
          <w:color w:val="auto"/>
        </w:rPr>
        <w:t>. Wainwright shall be entitled to compensation under clauses (1) and (2) hereunder, calculated in the manner set forth therein,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public or private offering or other financing or capital-raising transaction of any kind (“</w:t>
      </w:r>
      <w:r>
        <w:rPr>
          <w:rFonts w:ascii="Times New Roman" w:cs="Times New Roman" w:eastAsia="Times New Roman" w:hAnsi="Times New Roman"/>
          <w:sz w:val="18"/>
          <w:szCs w:val="18"/>
          <w:u w:val="single" w:color="auto"/>
          <w:color w:val="auto"/>
        </w:rPr>
        <w:t>Tail Financing</w:t>
      </w:r>
      <w:r>
        <w:rPr>
          <w:rFonts w:ascii="Times New Roman" w:cs="Times New Roman" w:eastAsia="Times New Roman" w:hAnsi="Times New Roman"/>
          <w:sz w:val="18"/>
          <w:szCs w:val="18"/>
          <w:color w:val="auto"/>
        </w:rPr>
        <w:t>”) to the extent that any capital or funds in such Tail Financing is provided to the Company directly or indirectly by investors whom Wainwright had contacted during the Term or introduced to the Company during the Term, if such Tail Financing is consummated at any time within the 12-month period following the expiration or termination of this Agreement.</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If, from the date hereof until the 12-month anniversary following consummation of each Offering (subject to FINRA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5110(g)(6)(A)), the Company or any of its subsidiaries decides to raise funds by means of a public offering (including at-the-market facility) or a private placement or any other capital-raising financing of equity, equity-linked or debt securities, Wainwright (or any affiliate designated by Wainwright) shall have the right to act as sole book-running manager, sole underwriter or sole placement agent for such financing. If Wainwright or one of its affiliates decides to accept any such engagement, the agreement governing such engagement will contain, among other things, provisions for customary fees for transactions of similar size and nature and the provisions of this Agreement, including indemnification, which are appropriate to such a transaction.</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5" w:right="339" w:bottom="1440" w:gutter="0" w:footer="0" w:header="0"/>
        </w:sectPr>
      </w:pPr>
    </w:p>
    <w:bookmarkStart w:id="35" w:name="page36"/>
    <w:bookmarkEnd w:id="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and Termination of Engagement; Exclusivity</w:t>
      </w:r>
      <w:r>
        <w:rPr>
          <w:rFonts w:ascii="Times New Roman" w:cs="Times New Roman" w:eastAsia="Times New Roman" w:hAnsi="Times New Roman"/>
          <w:sz w:val="18"/>
          <w:szCs w:val="18"/>
          <w:color w:val="auto"/>
        </w:rPr>
        <w:t>. The term of Wainwright’s exclusive engagement will begin on the date hereof and end six (6) months thereafter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Notwithstanding anything to the contrary contained herein, the Company agrees that the applicable provisions relating to the payment of fees, reimbursement of expenses, right of first refusal, tail, indemnification and contribution, confidentiality, conflicts, independent contractor and waiver of the right to trial by jury will survive any termination or expiration of this Agreement. Notwithstanding anything to the contrary contained herein, the Company has the right to terminate the Agreement for cause in compliance with FINRA Rule 5110(g)(5)(B)(i). The exercise of such right of termination for cause eliminates the Company’s obligations with respect to the provisions relating to the tail fees and right of first refusal. Notwithstanding anything to the contrary contained in this Agreement, in the event that an Offering pursuant to this Agreement shall not be carried out for any reason whatsoever during the Term, the Company shall be obligated to pay to Wainwright its actual and accountable reasonable out-of-pocket expenses related to an Offering (including the reasonable and invoiced the fees and disbursements of Wainwright’s legal counsel) and, if applicable, for electronic road show service used in connection with an Offering. During Wainwright’s engagement hereunder: (i) the Company will not, and will not permit its representatives to, other than in coordination with Wainwright, contact or solicit institutions, corporations or other entities or individuals as potential purchasers of the Securities or investment banks in connection with an Offering and (ii) the Company will not pursue any equity or equity-linked financing transaction which would be in lieu of an Offering, provided that the foregoing shall not apply to any Excluded Transactions or the exercise of any options or warrants or the conversion of any convertible securities, outstanding as of the date hereof in the ordinary course and unrelated to an Offering. Furthermore, the Company agrees that during Wainwright’s engagement hereunder, all inquiries from prospective investors will be referred to Wainwright in connection with an Offering. Additionally, except as set forth hereunder,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any Offering.</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Information; Reliance</w:t>
      </w:r>
      <w:r>
        <w:rPr>
          <w:rFonts w:ascii="Times New Roman" w:cs="Times New Roman" w:eastAsia="Times New Roman" w:hAnsi="Times New Roman"/>
          <w:sz w:val="18"/>
          <w:szCs w:val="18"/>
          <w:color w:val="auto"/>
        </w:rPr>
        <w:t>. The Company shall furnish, or cause to be furnished, to Wainwright all information reasonably requested by Wainwright for the purpose of rendering services hereunder and conducting due diligence (all such information being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each Offering (the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At each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closing conditions and closing deliverables made by the Company in any Offering Documents, including representations, warranties, covenants, closing conditions and closing deliverables made to any investor in an Offering.</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At each Offering, the Company shall enter into the following additional agreements, as applicable:</w:t>
      </w:r>
    </w:p>
    <w:p>
      <w:pPr>
        <w:spacing w:after="0" w:line="223" w:lineRule="exact"/>
        <w:rPr>
          <w:sz w:val="20"/>
          <w:szCs w:val="20"/>
          <w:color w:val="auto"/>
        </w:rPr>
      </w:pPr>
    </w:p>
    <w:p>
      <w:pPr>
        <w:jc w:val="both"/>
        <w:ind w:left="1300" w:hanging="332"/>
        <w:spacing w:after="0" w:line="267"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Underwritten Offering</w:t>
      </w:r>
      <w:r>
        <w:rPr>
          <w:rFonts w:ascii="Times New Roman" w:cs="Times New Roman" w:eastAsia="Times New Roman" w:hAnsi="Times New Roman"/>
          <w:sz w:val="18"/>
          <w:szCs w:val="18"/>
          <w:color w:val="auto"/>
        </w:rPr>
        <w:t>. If an Offering is an underwritten Offering, the Company and Wainwright shall enter into a customary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agreement in form and substance satisfactory to Wainwright and the Company and their respective counsels and, to the extent plausible, the terms of this Agreement.</w:t>
      </w:r>
    </w:p>
    <w:p>
      <w:pPr>
        <w:spacing w:after="0" w:line="173" w:lineRule="exact"/>
        <w:rPr>
          <w:rFonts w:ascii="Times New Roman" w:cs="Times New Roman" w:eastAsia="Times New Roman" w:hAnsi="Times New Roman"/>
          <w:sz w:val="18"/>
          <w:szCs w:val="18"/>
          <w:color w:val="auto"/>
        </w:rPr>
      </w:pPr>
    </w:p>
    <w:p>
      <w:pPr>
        <w:jc w:val="both"/>
        <w:ind w:left="1300" w:hanging="332"/>
        <w:spacing w:after="0" w:line="257"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Efforts Offering</w:t>
      </w:r>
      <w:r>
        <w:rPr>
          <w:rFonts w:ascii="Times New Roman" w:cs="Times New Roman" w:eastAsia="Times New Roman" w:hAnsi="Times New Roman"/>
          <w:sz w:val="18"/>
          <w:szCs w:val="18"/>
          <w:color w:val="auto"/>
        </w:rPr>
        <w:t>. If an Offering is on a best efforts basis, the sale of Securities to the investors in the Offering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evidenced by a purchase agreement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the Company and such investors in a form reasonably satisfactory to the Company and Wainwright. Wainwright shall be a third party beneficiary with respect to the representations, warranties, covenants, closing conditions and closing deliverables included in the Purchase Agreement. Prior to the signing of any Purchase Agreement, officers of the Company with responsibility for financial affairs will be available to answer inquiries from prospective investors.</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6" w:name="page37"/>
    <w:bookmarkEnd w:id="36"/>
    <w:p>
      <w:pPr>
        <w:jc w:val="both"/>
        <w:ind w:left="840" w:hanging="332"/>
        <w:spacing w:after="0" w:line="254" w:lineRule="auto"/>
        <w:tabs>
          <w:tab w:leader="none" w:pos="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Settlement and Closing</w:t>
      </w:r>
      <w:r>
        <w:rPr>
          <w:rFonts w:ascii="Times New Roman" w:cs="Times New Roman" w:eastAsia="Times New Roman" w:hAnsi="Times New Roman"/>
          <w:sz w:val="18"/>
          <w:szCs w:val="18"/>
          <w:color w:val="auto"/>
        </w:rPr>
        <w:t>. If each Offering is not settled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Wainwright shall enter into an escrow agreement with a third party escrow agent pursuant to which Wainwright’s compensation and expenses shall be paid from the gross proceeds of the Securities sold. If the Offering is settled in whole or in part via DVP, Wainwright shall arrange for its clearing agent to provide the funds to facilitate such settlement; provided, however, if the clearing firm provides the funds in a best efforts offering and subsequent to such delivery an investor fails to provide the necessary funds to the clearing agent for such purchase of Securities, Wainwright shall instruct the clearing agent to promptly return any such Securities to the Company and the Company shall promptly return such investor’s purchase price to the clearing agent. The Company shall pay Wainwright closing costs, which shall also include the reimbursement of the out-of-pocket cost of the escrow agent or clearing agent, as applicable, which closing costs shall not exceed $15,950.</w:t>
      </w:r>
    </w:p>
    <w:p>
      <w:pPr>
        <w:spacing w:after="0" w:line="188"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 Amendments</w:t>
      </w:r>
      <w:r>
        <w:rPr>
          <w:rFonts w:ascii="Times New Roman" w:cs="Times New Roman" w:eastAsia="Times New Roman" w:hAnsi="Times New Roman"/>
          <w:sz w:val="18"/>
          <w:szCs w:val="18"/>
          <w:color w:val="auto"/>
        </w:rPr>
        <w:t>. Notwithstanding anything herein to the contrary, in the event that Wainwright determines that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18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175" w:lineRule="exact"/>
        <w:rPr>
          <w:rFonts w:ascii="Times New Roman" w:cs="Times New Roman" w:eastAsia="Times New Roman" w:hAnsi="Times New Roman"/>
          <w:sz w:val="18"/>
          <w:szCs w:val="18"/>
          <w:color w:val="auto"/>
        </w:rPr>
      </w:pPr>
    </w:p>
    <w:p>
      <w:pPr>
        <w:ind w:left="360" w:hanging="176"/>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hanging="332"/>
        <w:spacing w:after="0" w:line="252" w:lineRule="auto"/>
        <w:tabs>
          <w:tab w:leader="none" w:pos="8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engagement of Wainwright hereunder, the Company hereby agrees to indemnify and hold harmless Wainwright and its affiliates, and the respective controlling persons, directors, officers, members, shareholders, agents and employees of any of the foregoing (collectively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from and against any and all claims, actions, suits, proceedings (including those of shareholders), damages, liabilities and expenses incurred by any of them (including the reasonable fees and expenses of counsel), as incurred, whether or not the Company is a party thereto (collectively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to the extent that it is finally judicially determined to have resulted from the gross negligence, fraud or willful misconduct of any such Indemnified Person for such Claim, in which case, any amounts previously reimbursed by the Company to such Indemnified Person will be returned by such Indemnified Person to the Company with respect to the extent of such Claim for which the Company is not responsible. The Company further agrees that no Indemnified Person shall have any liability to the Company for or in connection with the Company’s engagement of Wainwright except for any Claim incurred by the Company as a result of such Indemnified Person’s gross negligence, fraud or willful misconduct.</w:t>
      </w:r>
    </w:p>
    <w:p>
      <w:pPr>
        <w:spacing w:after="0" w:line="191"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5" w:right="339" w:bottom="1440" w:gutter="0" w:footer="0" w:header="0"/>
        </w:sectPr>
      </w:pPr>
    </w:p>
    <w:bookmarkStart w:id="37" w:name="page38"/>
    <w:bookmarkEnd w:id="37"/>
    <w:p>
      <w:pPr>
        <w:jc w:val="both"/>
        <w:ind w:left="840" w:hanging="332"/>
        <w:spacing w:after="0" w:line="251" w:lineRule="auto"/>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reasonably satisfactory to the Indemnified Person and provided further that if the legal counsel to such Indemnified Person reasonably determines that the use of counsel chosen by the Company to represent such Indemnified Person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205" w:lineRule="exact"/>
        <w:rPr>
          <w:rFonts w:ascii="Times New Roman" w:cs="Times New Roman" w:eastAsia="Times New Roman" w:hAnsi="Times New Roman"/>
          <w:sz w:val="18"/>
          <w:szCs w:val="18"/>
          <w:color w:val="auto"/>
        </w:rPr>
      </w:pPr>
    </w:p>
    <w:p>
      <w:pPr>
        <w:jc w:val="both"/>
        <w:ind w:left="840" w:hanging="332"/>
        <w:spacing w:after="0" w:line="253" w:lineRule="auto"/>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any indemnity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194"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Engagement to the Company</w:t>
      </w:r>
      <w:r>
        <w:rPr>
          <w:rFonts w:ascii="Times New Roman" w:cs="Times New Roman" w:eastAsia="Times New Roman" w:hAnsi="Times New Roman"/>
          <w:sz w:val="18"/>
          <w:szCs w:val="18"/>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Section 20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73" w:lineRule="auto"/>
        <w:tabs>
          <w:tab w:leader="none" w:pos="4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Wainwright’s Liability to the Company</w:t>
      </w:r>
      <w:r>
        <w:rPr>
          <w:rFonts w:ascii="Times New Roman" w:cs="Times New Roman" w:eastAsia="Times New Roman" w:hAnsi="Times New Roman"/>
          <w:sz w:val="17"/>
          <w:szCs w:val="17"/>
          <w:color w:val="auto"/>
        </w:rPr>
        <w:t>. Wainwright and the Company further agree that neither Wainwright nor any of its affiliates or any of its or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fraud or willful misconduct of Wainwright.</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hereunder will be in writing and sent by certified mail, hand delivery, overnight delivery or e-mail, if sent to Wainwright, at the address set forth on the first page hereof, e-mail: notices@hcwco.com, Attention: Head of Investment Banking, and if sent to the Company, to the address set forth on the first page hereof, e-mail: Neil.Dey@bluejaydx.com, Attention: Chief Executive Officer. Notices sent by certified mail shall be deemed received five days thereafter, notices sent by hand delivery or overnight delivery shall be deemed received on the date of the relevant written record of receipt, notices sent by e-mail shall be deemed received as of the date and time they were sent.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8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Anti-Money Laundering</w:t>
      </w:r>
      <w:r>
        <w:rPr>
          <w:rFonts w:ascii="Times New Roman" w:cs="Times New Roman" w:eastAsia="Times New Roman" w:hAnsi="Times New Roman"/>
          <w:sz w:val="17"/>
          <w:szCs w:val="17"/>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Furthermore, the Company represents and warrants that no consent, permit, waiver, approval or authorization of any third party in connection with the execution, delivery and performance by the Company of this Agreement or an Offering, is required or has not been obtained. This Agreement shall not be modified or amended except in writing signed by Wainwright and the Company. This Agreement shall be binding upon and inure to the benefit of both Wainwright and the Company and their respective assigns, successors, including any successor of the Company by merger or otherwise, and legal representatives. This Agreement constitutes the entire agreement of Wainwright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electronic counterparts), each of which shall be deemed an original but all of which together shall constitute one and the same instrument.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 The undersigned hereby consents to receipt of this Agreement in electronic form and understands and agrees that this Agreement may be signed electronically. In the event that any signature is delivered by electronic mail (including any electronic signature covered by the U.S. federal ESIGN Act of 2000, Uniform Electronic Transactions Act, the Electronic Signatures and Records Act or other applicable law, e.g., www.docusign.com) or otherwise by electronic transmission evidencing an intent to sign this Agreement, such electronic mail or other electronic transmission shall create a valid and binding obligation of the undersigned with the same force and effect as if such signature were an original. Execution and delivery of this Agreement by electronic mail or other electronic transmission is legal, valid and binding for all purposes.</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Edward Silvera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4/11/2026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Neil Dey</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and related Prospectus of Bluejay Diagnostics, Inc. of our report dated March 6, 2026, relating to the consolidated financial statements of Bluejay Diagnostics, Inc. appearing in the Annual Report on Form 10-K of Bluejay Diagnostics,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Bluejay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11,223,665</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$ 4.4650</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$ 50,113,664.23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$ 6,920.70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value $0.0001 per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$ 50,113,664.23</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6,920.70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$ 6,920.70</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or the Securities Act, there is also being registered hereby such indeterminate number of additional shares of common stock, par value $0.0001 per share, of the registrant as may be issued or issuable because of stock splits, stock dividends, stock distributions, and similar transactions.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of the Securities Act, on the basis of the average of the high and low prices for a share of the registrant’s common stock as reported on the Nasdaq Capital Market on June 10, 2026, which date is a date within five business days of the filing of this registration statement.</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3,655,917 shares of common stock issuable upon the exercise of pre-funded warrants, (ii) 3,655,917 shares of common stock issuable upon the exercise of series G warrants, (iii) 3,655,917 shares of common stock issuable upon the exercise of series H warrants and (iv) 255,915 shares of common stock issuable upon the exercise of placement agent warrants.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Roman"/>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
    <w:nsid w:val="257130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62BBD95A"/>
    <w:multiLevelType w:val="hybridMultilevel"/>
    <w:lvl w:ilvl="0">
      <w:lvlJc w:val="left"/>
      <w:lvlText w:val="(%1)"/>
      <w:numFmt w:val="lowerLetter"/>
      <w:start w:val="8"/>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upperLetter"/>
      <w:start w:val="1"/>
    </w:lvl>
    <w:lvl w:ilvl="1">
      <w:lvlJc w:val="left"/>
      <w:lvlText w:val="%2."/>
      <w:numFmt w:val="decimal"/>
      <w:start w:val="3"/>
    </w:lvl>
  </w:abstractNum>
  <w:abstractNum w:abstractNumId="20">
    <w:nsid w:val="2443A858"/>
    <w:multiLevelType w:val="hybridMultilevel"/>
    <w:lvl w:ilvl="0">
      <w:lvlJc w:val="left"/>
      <w:lvlText w:val="%1."/>
      <w:numFmt w:val="upperLetter"/>
      <w:start w:val="5"/>
    </w:lvl>
    <w:lvl w:ilvl="1">
      <w:lvlJc w:val="left"/>
      <w:lvlText w:val="%2."/>
      <w:numFmt w:val="decimal"/>
      <w:start w:val="1"/>
    </w:lvl>
  </w:abstractNum>
  <w:abstractNum w:abstractNumId="21">
    <w:nsid w:val="2D1D5AE9"/>
    <w:multiLevelType w:val="hybridMultilevel"/>
    <w:lvl w:ilvl="0">
      <w:lvlJc w:val="left"/>
      <w:lvlText w:val="%1"/>
      <w:numFmt w:val="upperLetter"/>
      <w:start w:val="1"/>
    </w:lvl>
    <w:lvl w:ilvl="1">
      <w:lvlJc w:val="left"/>
      <w:lvlText w:val="%2."/>
      <w:numFmt w:val="decimal"/>
      <w:start w:val="3"/>
    </w:lvl>
  </w:abstractNum>
  <w:abstractNum w:abstractNumId="22">
    <w:nsid w:val="6763845E"/>
    <w:multiLevelType w:val="hybridMultilevel"/>
    <w:lvl w:ilvl="0">
      <w:lvlJc w:val="left"/>
      <w:lvlText w:val="%1."/>
      <w:numFmt w:val="upperLetter"/>
      <w:start w:val="7"/>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jpe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jpe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49" Type="http://schemas.openxmlformats.org/officeDocument/2006/relationships/hyperlink" Target="https://www.sec.gov/ix?doc=/Archives/edgar/data/1704287/000121390026024616/ea0279152-10k_bluejay.htm" TargetMode="External"/><Relationship Id="rId50" Type="http://schemas.openxmlformats.org/officeDocument/2006/relationships/hyperlink" Target="https://www.sec.gov/ix?doc=/Archives/edgar/data/1704287/000121390026053328/ea0289346-10q_bluejay.htm" TargetMode="External"/><Relationship Id="rId51" Type="http://schemas.openxmlformats.org/officeDocument/2006/relationships/hyperlink" Target="https://www.sec.gov/ix?doc=/Archives/edgar/data/1704287/000121390026050177/ea0286761-03.htm" TargetMode="External"/><Relationship Id="rId52" Type="http://schemas.openxmlformats.org/officeDocument/2006/relationships/hyperlink" Target="https://www.sec.gov/ix?doc=/Archives/edgar/data/1704287/000121390026009792/ea0274800-8k_bluejay.htm" TargetMode="External"/><Relationship Id="rId53" Type="http://schemas.openxmlformats.org/officeDocument/2006/relationships/hyperlink" Target="https://www.sec.gov/ix?doc=/Archives/edgar/data/1704287/000121390026029261/ea0282221-8k_bluejay.htm" TargetMode="External"/><Relationship Id="rId54" Type="http://schemas.openxmlformats.org/officeDocument/2006/relationships/hyperlink" Target="https://www.sec.gov/ix?doc=/Archives/edgar/data/1704287/000121390026063767/ea0293118-8k_bluejay.htm" TargetMode="External"/><Relationship Id="rId55" Type="http://schemas.openxmlformats.org/officeDocument/2006/relationships/hyperlink" Target="https://www.sec.gov/ix?doc=/Archives/edgar/data/1704287/000121390026066364/ea0293390-8k_bluejay.htm" TargetMode="External"/><Relationship Id="rId56" Type="http://schemas.openxmlformats.org/officeDocument/2006/relationships/hyperlink" Target="https://www.sec.gov/ix?doc=/Archives/edgar/data/1704287/000121390026066896/ea0294209-8k_bluejay.htm" TargetMode="External"/><Relationship Id="rId57" Type="http://schemas.openxmlformats.org/officeDocument/2006/relationships/hyperlink" Target="https://www.sec.gov/Archives/edgar/data/1704287/000121390021057034/ea150059-8a12b_bluejay.htm" TargetMode="External"/><Relationship Id="rId58" Type="http://schemas.openxmlformats.org/officeDocument/2006/relationships/hyperlink" Target="https://www.sec.gov/Archives/edgar/data/1704287/000121390025026275/ea023450201ex4-10_bluejay.htm" TargetMode="External"/><Relationship Id="rId63" Type="http://schemas.openxmlformats.org/officeDocument/2006/relationships/hyperlink" Target="http://www.sec.gov/Archives/edgar/data/1704287/000121390021054486/fs12021a1ex3-1_bluejay.htm" TargetMode="External"/><Relationship Id="rId64" Type="http://schemas.openxmlformats.org/officeDocument/2006/relationships/hyperlink" Target="http://www.sec.gov/Archives/edgar/data/1704287/000121390023058659/ea182103ex3-1_bluejay.htm" TargetMode="External"/><Relationship Id="rId65" Type="http://schemas.openxmlformats.org/officeDocument/2006/relationships/hyperlink" Target="https://www.sec.gov/Archives/edgar/data/1704287/000121390024044034/ea020636401ex3-1_bluejay.htm" TargetMode="External"/><Relationship Id="rId66" Type="http://schemas.openxmlformats.org/officeDocument/2006/relationships/hyperlink" Target="http://www.sec.gov/Archives/edgar/data/1704287/000121390024054284/ea020806801ex3-1_bluejay.htm" TargetMode="External"/><Relationship Id="rId67" Type="http://schemas.openxmlformats.org/officeDocument/2006/relationships/hyperlink" Target="https://www.sec.gov/Archives/edgar/data/1704287/000121390024073437/ea0212465ex3-1_bluejay.htm" TargetMode="External"/><Relationship Id="rId68" Type="http://schemas.openxmlformats.org/officeDocument/2006/relationships/hyperlink" Target="https://www.sec.gov/Archives/edgar/data/1704287/000121390024099327/ea022134801ex3-1_bluejay.htm" TargetMode="External"/><Relationship Id="rId69" Type="http://schemas.openxmlformats.org/officeDocument/2006/relationships/hyperlink" Target="https://www.sec.gov/Archives/edgar/data/1704287/000121390026009792/ea027480001ex3-1_bluejay.htm" TargetMode="External"/><Relationship Id="rId70" Type="http://schemas.openxmlformats.org/officeDocument/2006/relationships/hyperlink" Target="http://www.sec.gov/Archives/edgar/data/1704287/000121390021054486/fs12021a1ex3-2_bluejay.htm" TargetMode="External"/><Relationship Id="rId71" Type="http://schemas.openxmlformats.org/officeDocument/2006/relationships/hyperlink" Target="http://www.sec.gov/Archives/edgar/data/1704287/000121390021054486/fs12021a1ex4-1_bluejay.htm" TargetMode="External"/><Relationship Id="rId72" Type="http://schemas.openxmlformats.org/officeDocument/2006/relationships/hyperlink" Target="https://www.sec.gov/Archives/edgar/data/1704287/000121390026066364/ea029339001ex4-1.htm" TargetMode="External"/><Relationship Id="rId73" Type="http://schemas.openxmlformats.org/officeDocument/2006/relationships/hyperlink" Target="https://www.sec.gov/Archives/edgar/data/1704287/000121390026066364/ea029339001ex4-2.htm" TargetMode="External"/><Relationship Id="rId74" Type="http://schemas.openxmlformats.org/officeDocument/2006/relationships/hyperlink" Target="https://www.sec.gov/Archives/edgar/data/1704287/000121390026066364/ea029339001ex4-3.htm" TargetMode="External"/><Relationship Id="rId75" Type="http://schemas.openxmlformats.org/officeDocument/2006/relationships/hyperlink" Target="https://www.sec.gov/Archives/edgar/data/1704287/000121390026066364/ea029339001ex4-4.htm" TargetMode="External"/><Relationship Id="rId76" Type="http://schemas.openxmlformats.org/officeDocument/2006/relationships/hyperlink" Target="https://www.sec.gov/Archives/edgar/data/1704287/000121390026066364/ea029339001ex10-1.htm" TargetMode="External"/><Relationship Id="rId77" Type="http://schemas.openxmlformats.org/officeDocument/2006/relationships/hyperlink" Target="https://www.sec.gov/Archives/edgar/data/1704287/000121390026066364/ea02933900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2026-06-17T16:23:13Z</dcterms:created>
  <dcterms:modified xsi:type="dcterms:W3CDTF">2026-06-17T16:23:13Z</dcterms:modified>
</cp:coreProperties>
</file>