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1753-s8_bluejay.htm"/>
      <w:bookmarkStart w:id="1" w:name="ksea0301753s8_bluejay"/>
      <w:bookmarkEnd w:id="0"/>
      <w:bookmarkEnd w:id="1"/>
      <w:r>
        <w:rPr>
          <w:b/>
        </w:rPr>
        <w:t>As filed with the Securities and Exchange Commission on August 12, 2026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3275"/>
        <w:gridCol w:w="60"/>
        <w:gridCol w:w="1895"/>
      </w:tblGrid>
      <w:tr>
        <w:trPr/>
        <w:tc>
          <w:tcPr>
            <w:tcW w:w="32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47-3552922</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r>
        <w:trPr/>
        <w:tc>
          <w:tcPr>
            <w:tcW w:w="3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 Massachusetts Ave., Suite 203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Acton, MA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01720</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 2021 Stock Plan, as amended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Neil Dey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 Massachusetts Avenue, 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Acton, MA 01720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327-7078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Brian C. O’Fahey,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R. Wiltshire,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Hogan Lovells Cadwalader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Columbia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555 Thirteenth Street, NW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637-5600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filed by Bluejay Diagnostics, Inc., a Delaware corporation (the “Company” or “Registrant”), relating to 600,000 shares of the Company’s common stock, par value $0.0001 per share (“Common Stock”), to be issued under the Bluejay Diagnostics, Inc. 2021 Stock Plan, as amended (the “2021 Stock Plan”), representing the increased number of shares of Common Stock authorized by an amendment to the 2021 Stock Plan that was approved by the Company’s stockholders on June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2021 Stock Plan covered by this Registration Statement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been filed with the Commission, are incorporated herein by reference and made part of this Registration Statement; provided, however, that the Company is not incorporating any information furnished pursuant to either Item 2.02 or Item 7.01 of any Current Report on Form 8-K:</w:t>
      </w:r>
    </w:p>
    <w:p>
      <w:pPr>
        <w:pStyle w:val="TextBody"/>
        <w:bidi w:val="0"/>
        <w:spacing w:before="0" w:after="0"/>
        <w:ind w:left="0" w:right="0" w:firstLine="72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7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780" w:type="dxa"/>
            <w:tcBorders/>
            <w:vAlign w:val="center"/>
          </w:tcPr>
          <w:p>
            <w:pPr>
              <w:pStyle w:val="TableContents"/>
              <w:bidi w:val="0"/>
              <w:spacing w:before="0" w:after="283"/>
              <w:jc w:val="both"/>
              <w:rPr/>
            </w:pPr>
            <w:r>
              <w:rPr/>
              <w:t xml:space="preserve">The Company’s Annual Report on </w:t>
            </w:r>
            <w:hyperlink r:id="rId2">
              <w:r>
                <w:rPr>
                  <w:rStyle w:val="InternetLink"/>
                </w:rPr>
                <w:t>Form 10-K</w:t>
              </w:r>
            </w:hyperlink>
            <w:r>
              <w:rPr/>
              <w:t xml:space="preserve"> for the fiscal year ended December 31, 2025;</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 xml:space="preserve">The Company’s Quarterly Reports on Form 10-Q for the fiscal quarters ended </w:t>
            </w:r>
            <w:hyperlink r:id="rId3">
              <w:r>
                <w:rPr>
                  <w:rStyle w:val="InternetLink"/>
                </w:rPr>
                <w:t>March 31, 2026</w:t>
              </w:r>
            </w:hyperlink>
            <w:r>
              <w:rPr/>
              <w:t xml:space="preserve"> and </w:t>
            </w:r>
            <w:hyperlink r:id="rId4">
              <w:r>
                <w:rPr>
                  <w:rStyle w:val="InternetLink"/>
                </w:rPr>
                <w:t>June 30, 2026</w:t>
              </w:r>
            </w:hyperlink>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283"/>
              <w:jc w:val="both"/>
              <w:rPr/>
            </w:pPr>
            <w:r>
              <w:rPr/>
              <w:t xml:space="preserve">Those portions of the Company’s Definitive Proxy Statement on </w:t>
            </w:r>
            <w:hyperlink r:id="rId5">
              <w:r>
                <w:rPr>
                  <w:rStyle w:val="InternetLink"/>
                </w:rPr>
                <w:t>Schedule 14A</w:t>
              </w:r>
            </w:hyperlink>
            <w:r>
              <w:rPr/>
              <w:t xml:space="preserve"> filed on April 30, 2026 that are deemed “filed” with the SEC;</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 xml:space="preserve">The Company’s Current Reports on Form 8-K filed with the Commission on </w:t>
            </w:r>
            <w:hyperlink r:id="rId6">
              <w:r>
                <w:rPr>
                  <w:rStyle w:val="InternetLink"/>
                </w:rPr>
                <w:t>January 30, 2026</w:t>
              </w:r>
            </w:hyperlink>
            <w:r>
              <w:rPr/>
              <w:t xml:space="preserve">, </w:t>
            </w:r>
            <w:hyperlink r:id="rId7">
              <w:r>
                <w:rPr>
                  <w:rStyle w:val="InternetLink"/>
                </w:rPr>
                <w:t>March 17, 2026</w:t>
              </w:r>
            </w:hyperlink>
            <w:r>
              <w:rPr/>
              <w:t xml:space="preserve">, </w:t>
            </w:r>
            <w:hyperlink r:id="rId8">
              <w:r>
                <w:rPr>
                  <w:rStyle w:val="InternetLink"/>
                </w:rPr>
                <w:t>June 2, 2026</w:t>
              </w:r>
            </w:hyperlink>
            <w:r>
              <w:rPr/>
              <w:t xml:space="preserve">, </w:t>
            </w:r>
            <w:hyperlink r:id="rId9">
              <w:r>
                <w:rPr>
                  <w:rStyle w:val="InternetLink"/>
                </w:rPr>
                <w:t>June 8, 2026</w:t>
              </w:r>
            </w:hyperlink>
            <w:r>
              <w:rPr/>
              <w:t xml:space="preserve"> and </w:t>
            </w:r>
            <w:hyperlink r:id="rId10">
              <w:r>
                <w:rPr>
                  <w:rStyle w:val="InternetLink"/>
                </w:rPr>
                <w:t>June 9, 2026</w:t>
              </w:r>
            </w:hyperlink>
            <w:r>
              <w:rPr/>
              <w: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The description of the Company’s common stock, par value $0.0001 per share contained in its Registration Statement on </w:t>
            </w:r>
            <w:hyperlink r:id="rId11">
              <w:r>
                <w:rPr>
                  <w:rStyle w:val="InternetLink"/>
                </w:rPr>
                <w:t>Form 8-A</w:t>
              </w:r>
            </w:hyperlink>
            <w:r>
              <w:rPr/>
              <w:t>, dated and filed with the SEC on November 5, 2021, as amended by the description of the Company’s common stock contained in </w:t>
            </w:r>
            <w:hyperlink r:id="rId12">
              <w:r>
                <w:rPr>
                  <w:rStyle w:val="InternetLink"/>
                </w:rPr>
                <w:t>Exhibit 4.10</w:t>
              </w:r>
            </w:hyperlink>
            <w:r>
              <w:rPr/>
              <w:t xml:space="preserve"> to its Annual Report on </w:t>
            </w:r>
            <w:hyperlink r:id="rId13">
              <w:r>
                <w:rPr>
                  <w:rStyle w:val="InternetLink"/>
                </w:rPr>
                <w:t>Form 10-K</w:t>
              </w:r>
            </w:hyperlink>
            <w:r>
              <w:rPr/>
              <w:t xml:space="preserve"> for the year ended December 31, 2024, including all amendments and reports updating that description.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Company pursuant to Sections 13(a), 13(c), 14 and 15(d) of the Securities Exchange Act of 1934, as amended (other than information furnished under Item 2.02 or Item 7.01 of any Current Report on Form 8-K), on or after the date of this Registration Statement but before the Company files a post-effective amendment to this Registration Statement, which indicate that all securities offered have been sold or which deregister all securities then remaining unsold, shall be deemed to be incorporated by reference in this Registration Statement and are a part thereof from the date of filing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incorporated by reference in this Registration Statement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Interests of Named Experts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or the DGCL, provides, in general, that a Delaware corporation, in its certificate of incorporation, may limit the personal liability of a director or officer to the corporation or its stockholders for monetary damages for breach of fiduciary duties as a director or officer, except for liability for any:</w:t>
      </w:r>
    </w:p>
    <w:p>
      <w:pPr>
        <w:pStyle w:val="TextBody"/>
        <w:bidi w:val="0"/>
        <w:spacing w:before="0" w:after="0"/>
        <w:ind w:left="0" w:right="0" w:firstLine="72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 from which the director or officer derived an improper personal benefit;</w:t>
            </w:r>
          </w:p>
        </w:tc>
      </w:tr>
    </w:tbl>
    <w:p>
      <w:pPr>
        <w:pStyle w:val="TextBody"/>
        <w:bidi w:val="0"/>
        <w:spacing w:before="0" w:after="0"/>
        <w:ind w:left="1440" w:right="0" w:hanging="36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 or omission not in good faith or that involved intentional misconduct or a knowing violation of law;</w:t>
            </w:r>
          </w:p>
        </w:tc>
      </w:tr>
    </w:tbl>
    <w:p>
      <w:pPr>
        <w:pStyle w:val="TextBody"/>
        <w:bidi w:val="0"/>
        <w:spacing w:before="0" w:after="0"/>
        <w:ind w:left="1440" w:right="0" w:hanging="36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unlawful payment of dividends or redemption of shares; or</w:t>
            </w:r>
          </w:p>
        </w:tc>
      </w:tr>
    </w:tbl>
    <w:p>
      <w:pPr>
        <w:pStyle w:val="TextBody"/>
        <w:bidi w:val="0"/>
        <w:spacing w:before="0" w:after="0"/>
        <w:ind w:left="1440" w:right="0" w:hanging="36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breach of the director’s or officer’s duty of loyalty to the corporation or its stockholders.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provides for such limitations on liability for its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require us to indemnify and hold harmless, to the fullest extent permitted by applicable law as it presently exists or may hereafter be amended, any person (a “covered person”) who was or is made or is threatened to be made a party or is otherwise involved in any threatened, pending or completed action, suit or proceeding, whether civil, criminal, administrative or investigative (a “proceeding”) by reason of the fact that he or she is or was a director, officer or member of a committee of the Company, or, while a director or officer of the Company, is or was serving at the request of the Company as a director or officer, employee or agent of another corporation, partnership, joint venture, trust or other enterprise or non-profit entity, including service with respect to employee benefit plans, against all liability and loss suffered and expenses (including attorneys’ fees), judgment, fines and amounts paid in settlement actually and reasonably incurred by such covered person in connection with a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our amended and restated bylaws, in certain circumstances, the Company shall pay the expenses (including attorneys’ fees) incurred by a covered person in defending a proceeding in advance of the final disposition of such proceeding; provided, however, that the Company shall not be required to advance any expenses to a person against whom the Company directly brings an action, suit or proceeding alleging that such person (1) committed an act or omission not in good faith or (2) committed an act of intentional misconduct or a knowing violation of law. Additionally, an advancement of expenses incurred by a covered person shall be made only upon delivery to the Company of an undertaking, by or on behalf of such covered person, to repay all amounts so advanced if it shall ultimately be determined by final judicial decision from which there is no further right to appeal or otherwise in accordance with Delaware law that such covered person is not entitled to be indemnified for such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directors’ and officers’ insurance policy pursuant to which our directors and officers are insured against liability for actions taken in their capacities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Exemptions from Registration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0"/>
        <w:gridCol w:w="60"/>
        <w:gridCol w:w="5056"/>
        <w:gridCol w:w="60"/>
        <w:gridCol w:w="60"/>
        <w:gridCol w:w="883"/>
        <w:gridCol w:w="60"/>
        <w:gridCol w:w="500"/>
        <w:gridCol w:w="60"/>
        <w:gridCol w:w="1585"/>
        <w:gridCol w:w="60"/>
        <w:gridCol w:w="871"/>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5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b/>
              </w:rPr>
            </w:pPr>
            <w:r>
              <w:rPr>
                <w:b/>
              </w:rPr>
              <w:t>Filed</w:t>
              <w:br/>
              <w:t>with this</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6"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950" w:type="dxa"/>
            <w:tcBorders/>
            <w:vAlign w:val="center"/>
          </w:tcPr>
          <w:p>
            <w:pPr>
              <w:pStyle w:val="TableContents"/>
              <w:bidi w:val="0"/>
              <w:spacing w:before="0" w:after="283"/>
              <w:jc w:val="left"/>
              <w:rPr>
                <w:b/>
              </w:rPr>
            </w:pPr>
            <w:r>
              <w:rPr>
                <w:b/>
              </w:rPr>
              <w:t>Number </w:t>
            </w:r>
          </w:p>
        </w:tc>
        <w:tc>
          <w:tcPr>
            <w:tcW w:w="60" w:type="dxa"/>
            <w:tcBorders/>
            <w:vAlign w:val="center"/>
          </w:tcPr>
          <w:p>
            <w:pPr>
              <w:pStyle w:val="TableContents"/>
              <w:bidi w:val="0"/>
              <w:spacing w:before="0" w:after="283"/>
              <w:jc w:val="both"/>
              <w:rPr/>
            </w:pPr>
            <w:r>
              <w:rPr/>
              <w:t> </w:t>
            </w:r>
          </w:p>
        </w:tc>
        <w:tc>
          <w:tcPr>
            <w:tcW w:w="5056" w:type="dxa"/>
            <w:tcBorders>
              <w:bottom w:val="single" w:sz="12" w:space="0" w:color="000000"/>
            </w:tcBorders>
            <w:tcMar>
              <w:bottom w:w="28" w:type="dxa"/>
            </w:tcMar>
            <w:vAlign w:val="center"/>
          </w:tcPr>
          <w:p>
            <w:pPr>
              <w:pStyle w:val="TableContents"/>
              <w:bidi w:val="0"/>
              <w:spacing w:before="0" w:after="283"/>
              <w:jc w:val="center"/>
              <w:rPr>
                <w:b/>
              </w:rPr>
            </w:pPr>
            <w:r>
              <w:rPr>
                <w:b/>
              </w:rPr>
              <w:t>Exhibit Title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83" w:type="dxa"/>
            <w:tcBorders>
              <w:bottom w:val="single" w:sz="12" w:space="0" w:color="000000"/>
            </w:tcBorders>
            <w:tcMar>
              <w:bottom w:w="28" w:type="dxa"/>
            </w:tcMar>
            <w:vAlign w:val="center"/>
          </w:tcPr>
          <w:p>
            <w:pPr>
              <w:pStyle w:val="TableContents"/>
              <w:bidi w:val="0"/>
              <w:spacing w:before="0" w:after="283"/>
              <w:jc w:val="center"/>
              <w:rPr>
                <w:b/>
              </w:rPr>
            </w:pPr>
            <w:r>
              <w:rPr>
                <w:b/>
              </w:rPr>
              <w:t>Form </w:t>
            </w:r>
            <w:r>
              <w:rPr>
                <w:rFonts w:ascii="Times New Roman;Times;Serif" w:hAnsi="Times New Roman;Times;Serif"/>
                <w:b/>
                <w:sz w:val="20"/>
              </w:rPr>
              <w:t>S-8</w:t>
            </w:r>
          </w:p>
        </w:tc>
        <w:tc>
          <w:tcPr>
            <w:tcW w:w="60" w:type="dxa"/>
            <w:tcBorders/>
            <w:vAlign w:val="center"/>
          </w:tcPr>
          <w:p>
            <w:pPr>
              <w:pStyle w:val="TableContents"/>
              <w:bidi w:val="0"/>
              <w:spacing w:before="0" w:after="283"/>
              <w:jc w:val="both"/>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283"/>
              <w:jc w:val="both"/>
              <w:rPr/>
            </w:pPr>
            <w:r>
              <w:rPr/>
              <w:t> </w:t>
            </w:r>
          </w:p>
        </w:tc>
        <w:tc>
          <w:tcPr>
            <w:tcW w:w="15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283"/>
              <w:jc w:val="both"/>
              <w:rPr/>
            </w:pPr>
            <w:r>
              <w:rPr/>
              <w:t> </w:t>
            </w:r>
          </w:p>
        </w:tc>
        <w:tc>
          <w:tcPr>
            <w:tcW w:w="87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3.1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sz w:val="20"/>
                </w:rPr>
                <w:t>Amended and Restated Certificate of Incorporation</w:t>
              </w:r>
            </w:hyperlink>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333-260029 Exhibit 3.1</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10/04/2021</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3.2 </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r:id="rId15">
              <w:r>
                <w:rPr>
                  <w:rStyle w:val="InternetLink"/>
                  <w:rFonts w:ascii="Times New Roman;Times;Serif" w:hAnsi="Times New Roman;Times;Serif"/>
                  <w:sz w:val="20"/>
                </w:rPr>
                <w:t>Certificate of Amendment to the Amended and Restated Certificate of Incorporation</w:t>
              </w:r>
            </w:hyperlink>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001-41031 Exhibit 3.1</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07/21/2023</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3.3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Certificate of Amendment to the Amended and Restated Certificate of Incorporation</w:t>
              </w:r>
            </w:hyperlink>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001-41031 Exhibit 3.1</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05/16//2024</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3.4 </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r:id="rId17">
              <w:r>
                <w:rPr>
                  <w:rStyle w:val="InternetLink"/>
                  <w:rFonts w:ascii="Times New Roman;Times;Serif" w:hAnsi="Times New Roman;Times;Serif"/>
                  <w:sz w:val="20"/>
                </w:rPr>
                <w:t>Certificate of Amendment to the Amended and Restated Certificate of Incorporation</w:t>
              </w:r>
            </w:hyperlink>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8-K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001-41031 Exhibit 3.1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06/20/2024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3.5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Certificate of Amendment to the Amended and Restated Certificate of Incorporation</w:t>
              </w:r>
            </w:hyperlink>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8-K </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001-41031 Exhibit 3.1 </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08/28/2024 </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r:id="rId19">
              <w:r>
                <w:rPr>
                  <w:rStyle w:val="InternetLink"/>
                  <w:rFonts w:ascii="Times New Roman;Times;Serif" w:hAnsi="Times New Roman;Times;Serif"/>
                  <w:sz w:val="20"/>
                </w:rPr>
                <w:t>Certificate of Amendment to the Amended and Restated Certificate of Incorporation</w:t>
              </w:r>
            </w:hyperlink>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8-K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001-41031 Exhibit 3.1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11/18/2024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3.7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sz w:val="20"/>
                </w:rPr>
                <w:t>Certificate of Amendment to the Amended and Restated Certificate of Incorporation</w:t>
              </w:r>
            </w:hyperlink>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8-K </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001-41031 Exhibit 3.1 </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01/30/2026 </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r:id="rId21">
              <w:r>
                <w:rPr>
                  <w:rStyle w:val="InternetLink"/>
                  <w:rFonts w:ascii="Times New Roman;Times;Serif" w:hAnsi="Times New Roman;Times;Serif"/>
                  <w:sz w:val="20"/>
                </w:rPr>
                <w:t>Amended and Restated Bylaws</w:t>
              </w:r>
            </w:hyperlink>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333-260029 Exhibit 3.2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10/04/2021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3.9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Amendment</w:t>
              </w:r>
            </w:hyperlink>
            <w:hyperlink r:id="rId23">
              <w:r>
                <w:rPr>
                  <w:rStyle w:val="InternetLink"/>
                </w:rPr>
                <w:t xml:space="preserve"> </w:t>
              </w:r>
            </w:hyperlink>
            <w:hyperlink r:id="rId24">
              <w:r>
                <w:rPr>
                  <w:rStyle w:val="InternetLink"/>
                  <w:rFonts w:ascii="Times New Roman;Times;Serif" w:hAnsi="Times New Roman;Times;Serif"/>
                  <w:sz w:val="20"/>
                </w:rPr>
                <w:t>No. 1 to Amended and Restated Bylaws </w:t>
              </w:r>
            </w:hyperlink>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8-K </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001-41031 Exhibit 3.1 </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10/16/2024 </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4.1 </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sz w:val="20"/>
                </w:rPr>
                <w:t>Specimen Common Stock Certificate</w:t>
              </w:r>
            </w:hyperlink>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333-260029 Exhibit 4.1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10/04/2021</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Bluejay Diagnostics, Inc. 2021 Stock Plan, as amended</w:t>
              </w:r>
            </w:hyperlink>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001-41031 Exhibit 10.1</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06/09/2026</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5.1 </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w:anchor="ea030175301ex5-1.htm">
              <w:r>
                <w:rPr>
                  <w:rStyle w:val="InternetLink"/>
                  <w:rFonts w:ascii="Times New Roman;Times;Serif" w:hAnsi="Times New Roman;Times;Serif"/>
                  <w:sz w:val="20"/>
                </w:rPr>
                <w:t>Opinion of Hogan Lovells Cadwalader US LLP </w:t>
              </w:r>
            </w:hyperlink>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X </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w:anchor="ea030175301ex23-1.htm">
              <w:r>
                <w:rPr>
                  <w:rStyle w:val="InternetLink"/>
                  <w:rFonts w:ascii="Times New Roman;Times;Serif" w:hAnsi="Times New Roman;Times;Serif"/>
                  <w:sz w:val="20"/>
                </w:rPr>
                <w:t>Consent of Wolf &amp; Company, P.C.</w:t>
              </w:r>
            </w:hyperlink>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pPr>
            <w:r>
              <w:rPr/>
              <w:t> </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w:anchor="ea030175301ex5-1.htm">
              <w:r>
                <w:rPr>
                  <w:rStyle w:val="InternetLink"/>
                  <w:rFonts w:ascii="Times New Roman;Times;Serif" w:hAnsi="Times New Roman;Times;Serif"/>
                  <w:sz w:val="20"/>
                </w:rPr>
                <w:t xml:space="preserve">Consent of Hogan Lovells Cadwalader US LLP (included in Exhibit 5.1) </w:t>
              </w:r>
            </w:hyperlink>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24.1 </w:t>
            </w:r>
          </w:p>
        </w:tc>
        <w:tc>
          <w:tcPr>
            <w:tcW w:w="60" w:type="dxa"/>
            <w:tcBorders/>
            <w:shd w:fill="CCEEFF" w:val="clear"/>
            <w:vAlign w:val="center"/>
          </w:tcPr>
          <w:p>
            <w:pPr>
              <w:pStyle w:val="TableContents"/>
              <w:bidi w:val="0"/>
              <w:spacing w:before="0" w:after="283"/>
              <w:jc w:val="both"/>
              <w:rPr/>
            </w:pPr>
            <w:r>
              <w:rPr/>
              <w:t> </w:t>
            </w:r>
          </w:p>
        </w:tc>
        <w:tc>
          <w:tcPr>
            <w:tcW w:w="5056" w:type="dxa"/>
            <w:tcBorders/>
            <w:shd w:fill="CCEEFF" w:val="clear"/>
            <w:vAlign w:val="center"/>
          </w:tcPr>
          <w:p>
            <w:pPr>
              <w:pStyle w:val="TableContents"/>
              <w:bidi w:val="0"/>
              <w:spacing w:before="0" w:after="283"/>
              <w:jc w:val="both"/>
              <w:rPr/>
            </w:pPr>
            <w:hyperlink w:anchor="poa">
              <w:r>
                <w:rPr>
                  <w:rStyle w:val="InternetLink"/>
                  <w:rFonts w:ascii="Times New Roman;Times;Serif" w:hAnsi="Times New Roman;Times;Serif"/>
                  <w:sz w:val="20"/>
                </w:rPr>
                <w:t>Power of Attorney</w:t>
              </w:r>
            </w:hyperlink>
            <w:hyperlink w:anchor="poa">
              <w:r>
                <w:rPr>
                  <w:rStyle w:val="InternetLink"/>
                </w:rPr>
                <w:t> </w:t>
              </w:r>
            </w:hyperlink>
            <w:hyperlink w:anchor="poa">
              <w:r>
                <w:rPr>
                  <w:rStyle w:val="InternetLink"/>
                  <w:rFonts w:ascii="Times New Roman;Times;Serif" w:hAnsi="Times New Roman;Times;Serif"/>
                  <w:sz w:val="20"/>
                </w:rPr>
                <w:t>(included on signature page)</w:t>
              </w:r>
            </w:hyperlink>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88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c>
          <w:tcPr>
            <w:tcW w:w="60" w:type="dxa"/>
            <w:tcBorders/>
            <w:shd w:fill="CCEEFF" w:val="clear"/>
            <w:vAlign w:val="center"/>
          </w:tcPr>
          <w:p>
            <w:pPr>
              <w:pStyle w:val="TableContents"/>
              <w:bidi w:val="0"/>
              <w:spacing w:before="0" w:after="283"/>
              <w:jc w:val="both"/>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15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871" w:type="dxa"/>
            <w:tcBorders/>
            <w:shd w:fill="CCEEFF" w:val="clear"/>
            <w:vAlign w:val="center"/>
          </w:tcPr>
          <w:p>
            <w:pPr>
              <w:pStyle w:val="TableContents"/>
              <w:bidi w:val="0"/>
              <w:spacing w:before="0" w:after="283"/>
              <w:jc w:val="center"/>
              <w:rPr/>
            </w:pPr>
            <w:r>
              <w:rPr/>
              <w:t> </w:t>
            </w:r>
          </w:p>
        </w:tc>
      </w:tr>
      <w:tr>
        <w:trPr/>
        <w:tc>
          <w:tcPr>
            <w:tcW w:w="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both"/>
              <w:rPr/>
            </w:pPr>
            <w:r>
              <w:rPr/>
              <w:t> </w:t>
            </w:r>
          </w:p>
        </w:tc>
        <w:tc>
          <w:tcPr>
            <w:tcW w:w="5056" w:type="dxa"/>
            <w:tcBorders/>
            <w:shd w:fill="FFFFFF" w:val="clear"/>
            <w:vAlign w:val="center"/>
          </w:tcPr>
          <w:p>
            <w:pPr>
              <w:pStyle w:val="TableContents"/>
              <w:bidi w:val="0"/>
              <w:spacing w:before="0" w:after="283"/>
              <w:jc w:val="both"/>
              <w:rPr/>
            </w:pPr>
            <w:hyperlink w:anchor="ea030175301ex-fee.htm">
              <w:r>
                <w:rPr>
                  <w:rStyle w:val="InternetLink"/>
                  <w:rFonts w:ascii="Times New Roman;Times;Serif" w:hAnsi="Times New Roman;Times;Serif"/>
                  <w:sz w:val="20"/>
                </w:rPr>
                <w:t>Filing Fee Table  </w:t>
              </w:r>
            </w:hyperlink>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88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c>
          <w:tcPr>
            <w:tcW w:w="60" w:type="dxa"/>
            <w:tcBorders/>
            <w:shd w:fill="FFFFFF" w:val="clear"/>
            <w:vAlign w:val="center"/>
          </w:tcPr>
          <w:p>
            <w:pPr>
              <w:pStyle w:val="TableContents"/>
              <w:bidi w:val="0"/>
              <w:spacing w:before="0" w:after="283"/>
              <w:jc w:val="both"/>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15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871"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3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8090"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(ii)</w:t>
            </w:r>
          </w:p>
        </w:tc>
        <w:tc>
          <w:tcPr>
            <w:tcW w:w="9945"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both"/>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 </w:t>
      </w:r>
      <w:r>
        <w:rPr>
          <w:rFonts w:ascii="Times New Roman;Times;Serif" w:hAnsi="Times New Roman;Times;Serif"/>
          <w:b w:val="false"/>
          <w:i w:val="false"/>
          <w:caps w:val="false"/>
          <w:smallCaps w:val="false"/>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Acton, State of Massachusetts, on August 12, 2026.</w:t>
      </w:r>
    </w:p>
    <w:tbl>
      <w:tblPr>
        <w:tblW w:w="4485" w:type="dxa"/>
        <w:jc w:val="left"/>
        <w:tblInd w:w="0" w:type="dxa"/>
        <w:tblLayout w:type="fixed"/>
        <w:tblCellMar>
          <w:top w:w="0" w:type="dxa"/>
          <w:left w:w="0" w:type="dxa"/>
          <w:bottom w:w="0" w:type="dxa"/>
          <w:right w:w="0" w:type="dxa"/>
        </w:tblCellMar>
      </w:tblPr>
      <w:tblGrid>
        <w:gridCol w:w="75"/>
        <w:gridCol w:w="320"/>
        <w:gridCol w:w="545"/>
        <w:gridCol w:w="3545"/>
      </w:tblGrid>
      <w:tr>
        <w:trPr/>
        <w:tc>
          <w:tcPr>
            <w:tcW w:w="75" w:type="dxa"/>
            <w:tcBorders/>
            <w:vAlign w:val="center"/>
          </w:tcPr>
          <w:p>
            <w:pPr>
              <w:pStyle w:val="TableContents"/>
              <w:bidi w:val="0"/>
              <w:spacing w:before="0" w:after="283"/>
              <w:ind w:left="0" w:right="0" w:hanging="0"/>
              <w:jc w:val="left"/>
              <w:rPr/>
            </w:pPr>
            <w:r>
              <w:rPr/>
              <w:t> </w:t>
            </w:r>
          </w:p>
        </w:tc>
        <w:tc>
          <w:tcPr>
            <w:tcW w:w="4410" w:type="dxa"/>
            <w:gridSpan w:val="3"/>
            <w:tcBorders/>
            <w:vAlign w:val="center"/>
          </w:tcPr>
          <w:p>
            <w:pPr>
              <w:pStyle w:val="TableContents"/>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pPr>
            <w:r>
              <w:rPr/>
              <w:t> </w:t>
            </w:r>
          </w:p>
        </w:tc>
        <w:tc>
          <w:tcPr>
            <w:tcW w:w="354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90" w:type="dxa"/>
            <w:gridSpan w:val="2"/>
            <w:tcBorders/>
            <w:vAlign w:val="center"/>
          </w:tcPr>
          <w:p>
            <w:pPr>
              <w:pStyle w:val="TableContents"/>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Neil Dey</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4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45" w:type="dxa"/>
            <w:tcBorders/>
            <w:vAlign w:val="center"/>
          </w:tcPr>
          <w:p>
            <w:pPr>
              <w:pStyle w:val="TableContents"/>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Director</w:t>
            </w:r>
          </w:p>
        </w:tc>
      </w:tr>
    </w:tbl>
    <w:p>
      <w:pPr>
        <w:pStyle w:val="TextBody"/>
        <w:bidi w:val="0"/>
        <w:spacing w:before="0" w:after="0"/>
        <w:ind w:left="0" w:right="0" w:hanging="0"/>
        <w:jc w:val="both"/>
        <w:rPr>
          <w:b/>
        </w:rPr>
      </w:pPr>
      <w:r>
        <w:rPr>
          <w:b/>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Indranil “Neil” Dey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related registration statements necessary to register additional securities, and to file the same, with all exhibits thereto and other documents in connection therewith, with the Commission, granting unto such attorney 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below, on August 12,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28" w:type="dxa"/>
          <w:right w:w="0" w:type="dxa"/>
        </w:tblCellMar>
      </w:tblPr>
      <w:tblGrid>
        <w:gridCol w:w="1640"/>
        <w:gridCol w:w="60"/>
        <w:gridCol w:w="7115"/>
      </w:tblGrid>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71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r>
      <w:tr>
        <w:trPr/>
        <w:tc>
          <w:tcPr>
            <w:tcW w:w="16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15" w:type="dxa"/>
            <w:tcBorders/>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Neil Dey</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Neil Dey</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sz w:val="20"/>
              </w:rPr>
            </w:pPr>
            <w:r>
              <w:rPr>
                <w:sz w:val="20"/>
              </w:rPr>
              <w:t>(principal executive officer, principal financial officer and principal accounting officer)</w:t>
            </w:r>
          </w:p>
        </w:tc>
      </w:tr>
      <w:tr>
        <w:trPr/>
        <w:tc>
          <w:tcPr>
            <w:tcW w:w="16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Donald R. Chase</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of the Board </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Donald R. Chase</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6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Svetlana Dey</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Svetlana Dey</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6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Douglas Wurth</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Douglas Wurth</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6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Fred S. Zeidman</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Fred S. Zeidman</w:t>
            </w:r>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II-6</w:t>
      </w:r>
    </w:p>
    <w:p>
      <w:pPr>
        <w:pStyle w:val="TextBody"/>
        <w:bidi w:val="0"/>
        <w:jc w:val="right"/>
        <w:rPr>
          <w:b/>
        </w:rPr>
      </w:pPr>
      <w:bookmarkStart w:id="3" w:name="ea030175301ex5-1.htm"/>
      <w:bookmarkStart w:id="4" w:name="ksea030175301ex51"/>
      <w:bookmarkEnd w:id="3"/>
      <w:bookmarkEnd w:id="4"/>
      <w:r>
        <w:rPr>
          <w:b/>
        </w:rPr>
        <w:t>Exhibit 5.1</w:t>
      </w:r>
      <w:r>
        <w:br w:type="page"/>
      </w:r>
    </w:p>
    <w:p>
      <w:pPr>
        <w:pStyle w:val="TextBody"/>
        <w:bidi w:val="0"/>
        <w:spacing w:before="0" w:after="283"/>
        <w:jc w:val="left"/>
        <w:rPr/>
      </w:pPr>
      <w:r>
        <w:rPr/>
        <w:t> </w:t>
      </w:r>
    </w:p>
    <w:tbl>
      <w:tblPr>
        <w:tblW w:w="5870" w:type="dxa"/>
        <w:jc w:val="left"/>
        <w:tblInd w:w="0" w:type="dxa"/>
        <w:tblLayout w:type="fixed"/>
        <w:tblCellMar>
          <w:top w:w="0" w:type="dxa"/>
          <w:left w:w="0" w:type="dxa"/>
          <w:bottom w:w="0" w:type="dxa"/>
          <w:right w:w="0" w:type="dxa"/>
        </w:tblCellMar>
      </w:tblPr>
      <w:tblGrid>
        <w:gridCol w:w="2955"/>
        <w:gridCol w:w="2915"/>
      </w:tblGrid>
      <w:tr>
        <w:trPr/>
        <w:tc>
          <w:tcPr>
            <w:tcW w:w="2955" w:type="dxa"/>
            <w:tcBorders/>
            <w:vAlign w:val="center"/>
          </w:tcPr>
          <w:p>
            <w:pPr>
              <w:pStyle w:val="TableContents"/>
              <w:bidi w:val="0"/>
              <w:spacing w:before="0" w:after="283"/>
              <w:ind w:left="0" w:right="0" w:hanging="0"/>
              <w:jc w:val="left"/>
              <w:rPr/>
            </w:pPr>
            <w:r>
              <w:rPr/>
              <w:drawing>
                <wp:inline distT="0" distB="0" distL="0" distR="0">
                  <wp:extent cx="18669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1866900" cy="381000"/>
                          </a:xfrm>
                          <a:prstGeom prst="rect">
                            <a:avLst/>
                          </a:prstGeom>
                        </pic:spPr>
                      </pic:pic>
                    </a:graphicData>
                  </a:graphic>
                </wp:inline>
              </w:drawing>
            </w:r>
          </w:p>
        </w:tc>
        <w:tc>
          <w:tcPr>
            <w:tcW w:w="29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Square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Thirteenth Street, NW</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20004-1109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+1 202 637 5600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+1 202 637 5910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www.hlc.com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 Massachusetts Avenue, Suite 203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 01720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to Bluejay Diagnostics, Inc., a Delaware corporation (the “Company”), in connection with its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relating to the proposed offering of up to 600,000 shares of the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all of which shares of Common Stock are issuable pursuant to the Bluejay Diagnostics, Inc. 2021 Stock Plan, as amended (the “</w:t>
      </w:r>
      <w:r>
        <w:rPr>
          <w:rFonts w:ascii="Times New Roman;Times;Serif" w:hAnsi="Times New Roman;Times;Serif"/>
          <w:b/>
          <w:i w:val="false"/>
          <w:caps w:val="false"/>
          <w:smallCaps w:val="false"/>
          <w:sz w:val="20"/>
        </w:rPr>
        <w:t>2021 Stock Plan</w:t>
      </w:r>
      <w:r>
        <w:rPr>
          <w:rFonts w:ascii="Times New Roman;Times;Serif" w:hAnsi="Times New Roman;Times;Serif"/>
          <w:b w:val="false"/>
          <w:i w:val="false"/>
          <w:caps w:val="false"/>
          <w:smallCaps w:val="false"/>
          <w:sz w:val="20"/>
        </w:rPr>
        <w:t>”). This opinion letter is furnished to you at your request to enable you to fulfill the requirements of Item 601(b)(5) of Regulation S-K, 17 C.F.R. § 229.601(b)(5), in connection with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based as to matters of law solely on the Delaware General Corporation Law, as amended. We express no opinion herein as to any other statutes, rules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we are of the opinion that following (i) effectiveness of the Registration Statement, (ii) issuance of the Shares pursuant to the terms of the 2021 Stock Plan, and (iii) receipt by the Company of the consideration for the Shares specified in the applicable resolutions of the Board of Directors or a duly authorized committee thereof and in accordance with the 2021 Stock Plan,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Hogan Lovells Cadwalader US LLP is a limited liability partnership registered in the state of Delaware. “Hogan Lovells Cadwalader” is an international legal practice that includes Hogan Lovells Cadwalader International LLP and Hogan Lovells Cadwalader US LLP, with offices in: Alicante Amsterdam Baltimore Beijing Berlin Birmingham Boston Brussels Charlotte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Associated Offices: Jakarta Shanghai FTZ. Business Services Centers: Johannesburg Louisville. For more information see www.hlc.com.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2075"/>
        <w:gridCol w:w="23"/>
        <w:gridCol w:w="1385"/>
      </w:tblGrid>
      <w:tr>
        <w:trPr/>
        <w:tc>
          <w:tcPr>
            <w:tcW w:w="20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tc>
        <w:tc>
          <w:tcPr>
            <w:tcW w:w="2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12,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has been prepared for use in connection with the Registration Statement. We assume no obligation to advise of any changes in the foregoing subsequent to the effective date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this consent, we do not thereby admit that we are an “expert” within the meaning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Hogan Lovells Cadwalader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30175301ex23-1.htm"/>
      <w:bookmarkStart w:id="6" w:name="ksea030175301ex231"/>
      <w:bookmarkEnd w:id="5"/>
      <w:bookmarkEnd w:id="6"/>
      <w:r>
        <w:rPr>
          <w:b/>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Bluejay Diagnostics, Inc. of our report dated March 6, 2026, relating to the consolidated financial statements of Bluejay Diagnostics, Inc. appearing in the Annual Report on Form 10-K of Bluejay Diagnostics,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Wolf &amp; Company,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175301ex-fee.htm"/>
      <w:bookmarkStart w:id="8" w:name="ksea0301753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Bluejay Diagnostics,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9"/>
        <w:gridCol w:w="60"/>
        <w:gridCol w:w="1170"/>
        <w:gridCol w:w="60"/>
        <w:gridCol w:w="575"/>
        <w:gridCol w:w="60"/>
        <w:gridCol w:w="1132"/>
        <w:gridCol w:w="60"/>
        <w:gridCol w:w="1092"/>
        <w:gridCol w:w="60"/>
        <w:gridCol w:w="275"/>
        <w:gridCol w:w="865"/>
        <w:gridCol w:w="60"/>
        <w:gridCol w:w="160"/>
        <w:gridCol w:w="1258"/>
        <w:gridCol w:w="60"/>
        <w:gridCol w:w="1040"/>
        <w:gridCol w:w="60"/>
        <w:gridCol w:w="253"/>
        <w:gridCol w:w="1046"/>
      </w:tblGrid>
      <w:tr>
        <w:trPr/>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r>
      <w:tr>
        <w:trPr/>
        <w:tc>
          <w:tcPr>
            <w:tcW w:w="859"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7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32"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r>
      <w:tr>
        <w:trPr/>
        <w:tc>
          <w:tcPr>
            <w:tcW w:w="859"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865"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606,000.00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283"/>
              <w:jc w:val="right"/>
              <w:rPr/>
            </w:pPr>
            <w:r>
              <w:rPr/>
              <w:t>83.69</w:t>
            </w:r>
          </w:p>
        </w:tc>
      </w:tr>
      <w:tr>
        <w:trPr/>
        <w:tc>
          <w:tcPr>
            <w:tcW w:w="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68"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606,000.00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83.69</w:t>
            </w:r>
          </w:p>
        </w:tc>
      </w:tr>
      <w:tr>
        <w:trPr/>
        <w:tc>
          <w:tcPr>
            <w:tcW w:w="6268"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268"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bottom w:val="double" w:sz="8" w:space="0" w:color="000000"/>
            </w:tcBorders>
            <w:tcMar>
              <w:bottom w:w="28" w:type="dxa"/>
            </w:tcMar>
            <w:vAlign w:val="center"/>
          </w:tcPr>
          <w:p>
            <w:pPr>
              <w:pStyle w:val="TableContents"/>
              <w:bidi w:val="0"/>
              <w:spacing w:before="0" w:after="283"/>
              <w:jc w:val="left"/>
              <w:rPr/>
            </w:pPr>
            <w:r>
              <w:rPr/>
              <w:t>$</w:t>
            </w:r>
          </w:p>
        </w:tc>
        <w:tc>
          <w:tcPr>
            <w:tcW w:w="1046" w:type="dxa"/>
            <w:tcBorders>
              <w:bottom w:val="double" w:sz="8" w:space="0" w:color="000000"/>
            </w:tcBorders>
            <w:tcMar>
              <w:bottom w:w="28" w:type="dxa"/>
            </w:tcMar>
            <w:vAlign w:val="center"/>
          </w:tcPr>
          <w:p>
            <w:pPr>
              <w:pStyle w:val="TableContents"/>
              <w:bidi w:val="0"/>
              <w:spacing w:before="0" w:after="283"/>
              <w:jc w:val="right"/>
              <w:rPr/>
            </w:pPr>
            <w:r>
              <w:rPr/>
              <w:t>83.69</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Represents 600,000 shares of the Company’s common stock, par value $0.0001 per share (“Common Stock”), to be issued under the Bluejay Diagnostics, Inc. 2021 Stock Plan, as amended (the “2021 Stock Plan”) (representing the increased number of shares of Common Stock authorized by the amendment to the 2021 Stock Plan that was approved by the Company’s shareholders on June 9, 2026). The 2021 Stock Plan authorizes the issuance of up to 600,061 shares of Common Stock (including the 600,000 shares of Common Stock registered hereby). Pursuant to Rule 416(a) under the Securities Act of 1933, as amended (the “Securities Act”), this registration statement also registers any additional securities to be offered or issued in connection with stock splits, stock dividends, recapitalizations, or similar transactions.</w:t>
              <w:br/>
              <w:br/>
              <w:t>Proposed maximum offering price per unit is estimated solely for the purpose of calculating the registration fee pursuant to Rule 457(c) and Rule 457(h) under the Securities Act. The offering price per share and aggregate offering price are based upon the average of the high and low prices per share of common stock of the Registrant as reported on the Nasdaq Capital Market on August 10, 2026, which was $1.01 per share.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1704287/000121390026024616/ea0279152-10k_bluejay.htm" TargetMode="External"/><Relationship Id="rId3" Type="http://schemas.openxmlformats.org/officeDocument/2006/relationships/hyperlink" Target="https://www.sec.gov/ix?doc=/Archives/edgar/data/1704287/000121390026053328/ea0289346-10q_bluejay.htm" TargetMode="External"/><Relationship Id="rId4" Type="http://schemas.openxmlformats.org/officeDocument/2006/relationships/hyperlink" Target="https://www.sec.gov/ix?doc=/Archives/edgar/data/1704287/000121390026088347/ea0299916-10q_bluejay.htm" TargetMode="External"/><Relationship Id="rId5" Type="http://schemas.openxmlformats.org/officeDocument/2006/relationships/hyperlink" Target="http://www.sec.gov/ix?doc=/Archives/edgar/data/1704287/000121390026050177/ea0286761-03.htm" TargetMode="External"/><Relationship Id="rId6" Type="http://schemas.openxmlformats.org/officeDocument/2006/relationships/hyperlink" Target="https://www.sec.gov/ix?doc=/Archives/edgar/data/1704287/000121390026009792/ea0274800-8k_bluejay.htm" TargetMode="External"/><Relationship Id="rId7" Type="http://schemas.openxmlformats.org/officeDocument/2006/relationships/hyperlink" Target="https://www.sec.gov/ix?doc=/Archives/edgar/data/1704287/000121390026029261/ea0282221-8k_bluejay.htm" TargetMode="External"/><Relationship Id="rId8" Type="http://schemas.openxmlformats.org/officeDocument/2006/relationships/hyperlink" Target="https://www.sec.gov/ix?doc=/Archives/edgar/data/1704287/000121390026063767/ea0293118-8k_bluejay.htm" TargetMode="External"/><Relationship Id="rId9" Type="http://schemas.openxmlformats.org/officeDocument/2006/relationships/hyperlink" Target="https://www.sec.gov/ix?doc=/Archives/edgar/data/1704287/000121390026066364/ea0293390-8k_bluejay.htm" TargetMode="External"/><Relationship Id="rId10" Type="http://schemas.openxmlformats.org/officeDocument/2006/relationships/hyperlink" Target="https://www.sec.gov/ix?doc=/Archives/edgar/data/1704287/000121390026066896/ea0294209-8k_bluejay.htm" TargetMode="External"/><Relationship Id="rId11" Type="http://schemas.openxmlformats.org/officeDocument/2006/relationships/hyperlink" Target="https://www.sec.gov/Archives/edgar/data/1704287/000121390021057034/ea150059-8a12b_bluejay.htm" TargetMode="External"/><Relationship Id="rId12" Type="http://schemas.openxmlformats.org/officeDocument/2006/relationships/hyperlink" Target="https://www.sec.gov/Archives/edgar/data/1704287/000121390025026275/ea023450201ex4-10_bluejay.htm" TargetMode="External"/><Relationship Id="rId13" Type="http://schemas.openxmlformats.org/officeDocument/2006/relationships/hyperlink" Target="https://www.sec.gov/ix?doc=/Archives/edgar/data/1704287/000121390025026275/ea0234502-10k_bluejay.htm" TargetMode="External"/><Relationship Id="rId14" Type="http://schemas.openxmlformats.org/officeDocument/2006/relationships/hyperlink" Target="http://www.sec.gov/Archives/edgar/data/1704287/000121390021054486/fs12021a1ex3-1_bluejay.htm" TargetMode="External"/><Relationship Id="rId15" Type="http://schemas.openxmlformats.org/officeDocument/2006/relationships/hyperlink" Target="http://www.sec.gov/Archives/edgar/data/1704287/000121390023058659/ea182103ex3-1_bluejay.htm" TargetMode="External"/><Relationship Id="rId16" Type="http://schemas.openxmlformats.org/officeDocument/2006/relationships/hyperlink" Target="https://www.sec.gov/Archives/edgar/data/1704287/000121390024044034/ea020636401ex3-1_bluejay.htm" TargetMode="External"/><Relationship Id="rId17" Type="http://schemas.openxmlformats.org/officeDocument/2006/relationships/hyperlink" Target="http://www.sec.gov/Archives/edgar/data/1704287/000121390024054284/ea020806801ex3-1_bluejay.htm" TargetMode="External"/><Relationship Id="rId18" Type="http://schemas.openxmlformats.org/officeDocument/2006/relationships/hyperlink" Target="https://www.sec.gov/Archives/edgar/data/1704287/000121390024073437/ea0212465ex3-1_bluejay.htm" TargetMode="External"/><Relationship Id="rId19" Type="http://schemas.openxmlformats.org/officeDocument/2006/relationships/hyperlink" Target="https://www.sec.gov/Archives/edgar/data/1704287/000121390024099327/ea022134801ex3-1_bluejay.htm" TargetMode="External"/><Relationship Id="rId20" Type="http://schemas.openxmlformats.org/officeDocument/2006/relationships/hyperlink" Target="https://www.sec.gov/Archives/edgar/data/1704287/000121390026009792/ea027480001ex3-1_bluejay.htm" TargetMode="External"/><Relationship Id="rId21" Type="http://schemas.openxmlformats.org/officeDocument/2006/relationships/hyperlink" Target="http://www.sec.gov/Archives/edgar/data/1704287/000121390021054486/fs12021a1ex3-2_bluejay.htm" TargetMode="External"/><Relationship Id="rId22" Type="http://schemas.openxmlformats.org/officeDocument/2006/relationships/hyperlink" Target="https://www.sec.gov/Archives/edgar/data/1704287/000121390024088196/ea021779701ex3-1_bluejay.htm" TargetMode="External"/><Relationship Id="rId23" Type="http://schemas.openxmlformats.org/officeDocument/2006/relationships/hyperlink" Target="https://www.sec.gov/Archives/edgar/data/1704287/000121390024088196/ea021779701ex3-1_bluejay.htm" TargetMode="External"/><Relationship Id="rId24" Type="http://schemas.openxmlformats.org/officeDocument/2006/relationships/hyperlink" Target="https://www.sec.gov/Archives/edgar/data/1704287/000121390024088196/ea021779701ex3-1_bluejay.htm" TargetMode="External"/><Relationship Id="rId25" Type="http://schemas.openxmlformats.org/officeDocument/2006/relationships/hyperlink" Target="http://www.sec.gov/Archives/edgar/data/1704287/000121390021054486/fs12021a1ex4-1_bluejay.htm" TargetMode="External"/><Relationship Id="rId26" Type="http://schemas.openxmlformats.org/officeDocument/2006/relationships/hyperlink" Target="https://www.sec.gov/Archives/edgar/data/1704287/000121390026066896/ea029420901ex10-1.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4096</Words>
  <Characters>21821</Characters>
  <CharactersWithSpaces>26116</CharactersWithSpaces>
  <Paragraphs>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