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Dey Indranil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BLUEJAY DIAGNOSTICS,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360 MASSACHUSETTS AVENUE, SUITE 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ACTON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Bluejay Diagnostics,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BJDX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82"/>
        <w:gridCol w:w="938"/>
        <w:gridCol w:w="806"/>
        <w:gridCol w:w="623"/>
        <w:gridCol w:w="346"/>
        <w:gridCol w:w="974"/>
        <w:gridCol w:w="425"/>
        <w:gridCol w:w="595"/>
        <w:gridCol w:w="1130"/>
        <w:gridCol w:w="979"/>
        <w:gridCol w:w="140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8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4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8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40,522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127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Lana Management &amp; Business Research International,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represent restricted stock units granted by the board of directors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Lana Management &amp; Business Research International, LLC is an entity owned by Mr. Indranil Dey and Ms. Svetlana Dey. Mr. Dey has voting and dispositive power over the shares held by such entity.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Indranil Dey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9815" TargetMode="External"/><Relationship Id="rId5" Type="http://schemas.openxmlformats.org/officeDocument/2006/relationships/hyperlink" Target="http://www.sec.gov/cgi-bin/browse-edgar?action=getcompany&amp;CIK=00017042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629</Words>
  <Characters>3401</Characters>
  <CharactersWithSpaces>3957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