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401-8k_bluejay.htm"/>
      <w:bookmarkStart w:id="1" w:name="ksea03084018k_bluejay"/>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10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525"/>
        <w:gridCol w:w="60"/>
        <w:gridCol w:w="1850"/>
        <w:gridCol w:w="60"/>
        <w:gridCol w:w="1535"/>
      </w:tblGrid>
      <w:tr>
        <w:trPr/>
        <w:tc>
          <w:tcPr>
            <w:tcW w:w="6030" w:type="dxa"/>
            <w:gridSpan w:val="5"/>
            <w:tcBorders/>
            <w:vAlign w:val="center"/>
          </w:tcPr>
          <w:p>
            <w:pPr>
              <w:pStyle w:val="TableContents"/>
              <w:bidi w:val="0"/>
              <w:spacing w:before="0" w:after="283"/>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caps/>
                <w:sz w:val="20"/>
              </w:rPr>
            </w:pPr>
            <w:bookmarkStart w:id="5" w:name="xdx_900_edei--EntityIncorporationStateCo"/>
            <w:bookmarkEnd w:id="5"/>
            <w:r>
              <w:rPr>
                <w:rFonts w:ascii="Times New Roman;Times;Serif" w:hAnsi="Times New Roman;Times;Serif"/>
                <w:b/>
                <w:caps/>
                <w:sz w:val="20"/>
              </w:rPr>
              <w:t>delaware</w:t>
            </w:r>
          </w:p>
        </w:tc>
        <w:tc>
          <w:tcPr>
            <w:tcW w:w="60" w:type="dxa"/>
            <w:tcBorders/>
            <w:vAlign w:val="center"/>
          </w:tcPr>
          <w:p>
            <w:pPr>
              <w:pStyle w:val="TableContents"/>
              <w:bidi w:val="0"/>
              <w:spacing w:before="0" w:after="283"/>
              <w:jc w:val="left"/>
              <w:rPr/>
            </w:pPr>
            <w:r>
              <w:rPr/>
              <w:t> </w:t>
            </w:r>
          </w:p>
        </w:tc>
        <w:tc>
          <w:tcPr>
            <w:tcW w:w="18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6" w:name="xdx_908_edei--EntityFileNumber_c20261013"/>
            <w:bookmarkEnd w:id="6"/>
            <w:r>
              <w:rPr>
                <w:rFonts w:ascii="Times New Roman;Times;Serif" w:hAnsi="Times New Roman;Times;Serif"/>
                <w:b/>
                <w:sz w:val="20"/>
              </w:rPr>
              <w:t>001-41031</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47-3552922</w:t>
            </w:r>
          </w:p>
        </w:tc>
      </w:tr>
      <w:tr>
        <w:trPr/>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360 Massachusetts Avenue,</w:t>
      </w:r>
      <w:bookmarkStart w:id="9" w:name="xdx_90A_edei--EntityAddressAddressLine2_"/>
      <w:bookmarkEnd w:id="9"/>
      <w:r>
        <w:rPr>
          <w:rFonts w:ascii="Times New Roman;Times;Serif" w:hAnsi="Times New Roman;Times;Serif"/>
          <w:b/>
          <w:i w:val="false"/>
          <w:caps w:val="false"/>
          <w:smallCaps w:val="false"/>
          <w:sz w:val="20"/>
        </w:rPr>
        <w:t> Suite 203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Acton, </w:t>
      </w:r>
      <w:bookmarkStart w:id="11" w:name="xdx_905_edei--EntityAddressStateOrProvin"/>
      <w:bookmarkEnd w:id="11"/>
      <w:r>
        <w:rPr>
          <w:rFonts w:ascii="Times New Roman;Times;Serif" w:hAnsi="Times New Roman;Times;Serif"/>
          <w:b/>
          <w:i w:val="false"/>
          <w:caps w:val="false"/>
          <w:smallCaps w:val="false"/>
          <w:sz w:val="20"/>
        </w:rPr>
        <w:t>MA </w:t>
      </w:r>
      <w:bookmarkStart w:id="12" w:name="xdx_906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1013__20"/>
      <w:bookmarkEnd w:id="13"/>
      <w:r>
        <w:rPr>
          <w:rFonts w:ascii="Times New Roman;Times;Serif" w:hAnsi="Times New Roman;Times;Serif"/>
          <w:b/>
          <w:i w:val="false"/>
          <w:caps w:val="false"/>
          <w:smallCaps w:val="false"/>
          <w:sz w:val="20"/>
        </w:rPr>
        <w:t>844) </w:t>
      </w:r>
      <w:bookmarkStart w:id="14" w:name="xdx_90A_edei--LocalPhoneNumber_c20261013"/>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B_edei--SolicitingMaterial_c202610"/>
            <w:bookmarkEnd w:id="16"/>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240.13e-14(c))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B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12bTitle_c20261013"/>
            <w:bookmarkEnd w:id="21"/>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7_edei--TradingSymbol_c20261013__2"/>
            <w:bookmarkEnd w:id="22"/>
            <w:r>
              <w:rPr>
                <w:rFonts w:ascii="Times New Roman;Times;Serif" w:hAnsi="Times New Roman;Times;Serif"/>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w:t>
            </w:r>
            <w:bookmarkStart w:id="23" w:name="xdx_90D_edei--SecurityExchangeName_c2026"/>
            <w:bookmarkEnd w:id="23"/>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Bluejay Diagnostics, Inc. issued a press release regarding, among other things, the completion of certain manufacturing-related contractual obligations.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 99.1, is being furnished and shall not be “filed” for the purpose of the Securities Exchange Act of 1934, as amended, nor shall it be incorporated by reference in any filing under the Exchange Act or the Securities Act of 1933, as amended, unless specifically identified therein as being incorporated by reference.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95"/>
        <w:gridCol w:w="60"/>
        <w:gridCol w:w="6530"/>
      </w:tblGrid>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left"/>
              <w:rPr/>
            </w:pPr>
            <w:r>
              <w:rPr/>
              <w:t> </w:t>
            </w:r>
          </w:p>
        </w:tc>
        <w:tc>
          <w:tcPr>
            <w:tcW w:w="6530" w:type="dxa"/>
            <w:tcBorders/>
            <w:shd w:fill="CCEEFF" w:val="clear"/>
            <w:vAlign w:val="center"/>
          </w:tcPr>
          <w:p>
            <w:pPr>
              <w:pStyle w:val="TableContents"/>
              <w:bidi w:val="0"/>
              <w:spacing w:before="0" w:after="283"/>
              <w:jc w:val="left"/>
              <w:rPr/>
            </w:pPr>
            <w:hyperlink w:anchor="ea030840101ex99-1.htm">
              <w:r>
                <w:rPr>
                  <w:rStyle w:val="InternetLink"/>
                  <w:rFonts w:ascii="Times New Roman;Times;Serif" w:hAnsi="Times New Roman;Times;Serif"/>
                  <w:sz w:val="20"/>
                </w:rPr>
                <w:t>Press Release, dated October 13, 2026.</w:t>
              </w:r>
            </w:hyperlink>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firstLine="48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Bluejay Diagnostics, Inc.</w:t>
            </w:r>
          </w:p>
        </w:tc>
      </w:tr>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jc w:val="right"/>
        <w:rPr>
          <w:b/>
        </w:rPr>
      </w:pPr>
      <w:bookmarkStart w:id="24" w:name="ea030840101ex99-1.htm"/>
      <w:bookmarkStart w:id="25" w:name="ksea030840101ex991"/>
      <w:bookmarkEnd w:id="24"/>
      <w:bookmarkEnd w:id="25"/>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Achieves Toray Contractual Manufacturing Milestone, Advancing Supply-Chain Resilience and Commercialization Readiness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Achieves Toray Contractual Milestone with Establishment of Manufacturing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ACTON, Mass. October 13, 2026 —</w:t>
      </w:r>
      <w:r>
        <w:rPr>
          <w:rFonts w:ascii="Times New Roman;Times;Serif" w:hAnsi="Times New Roman;Times;Serif"/>
          <w:b w:val="false"/>
          <w:i w:val="false"/>
          <w:caps w:val="false"/>
          <w:smallCaps w:val="false"/>
          <w:sz w:val="20"/>
        </w:rPr>
        <w:t xml:space="preserve"> Bluejay Diagnostics, Inc. (NASDAQ: BJDX) (“Bluejay” or the “Company”), a medical diagnostics company focused on improving patient outcomes through its Symphony™ near-patient diagnostic platform, today announced that it has completed the establishment of a manufacturing site for Symphony™ cartridges, achieving a critical contractual milestone as the Company advances toward regulatory submission and potential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 was achieved ahead of the October 23, 2026 contractual deadline established under Bluejay’s amended license agreement with Toray Industries, Inc. (“Toray”). Bluejay has formally notified Toray that the Company has fulfilled its obligation to substantially complete establishment of a manufacturing site. Bluejay’s manufacturing strategy is being developed around complementary manufacturing capabilities at SanyoSeiko Co., Ltd. in Japan and ALURIS Sciences, (previously Argonaut Manufacturing Services) in the United States. SanyoSeiko serves as the manufacturing site established under Bluejay’s agreement with Toray and is an important component of the Company’s Symphony cartridge manufacturing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initiatives are intended to provide Bluejay with a more diversified and resilient manufacturing infrastructure, reducing reliance on a single manufacturing pathway while increasing operational flexibility as the Company prepares for potential commercialization. The Company believes that achieving this manufacturing milestone represents an important step in reducing business and commercial execution risk as Bluejay advances toward regulatory submission and potential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Achieving this manufacturing milestone is an important accomplishment for Bluejay and another tangible step in our progression toward regulatory and commercial readiness,” said Neil Dey, President and Chief Executive Officer of Bluejay Diagnostics. “Our manufacturing strategy is designed to extend beyond a single facility or geography. With the establishment of our manufacturing capability at SanyoSeiko and our strategic U.S. manufacturing relationship with ALURIS, we are working to build complementary manufacturing pathways that can provide greater flexibility, redundancy and supply-chain resilience.”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continues to advance its manufacturing scale-up activities alongside its regulatory program for the Symphony™ IL-6 Test, the Company’s first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Symphony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IL-6 Test has not been cleared or approved by the U.S. Food and Drug Administration (“FDA”) and is not currently available for commercial clinical use in the United States. The Symphony™ rapid diagnostic platform is an investigational device and is limited by United States law to investigational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Reports on Form 10-Q for the fiscal quarters ended March 31, 2026 and June 30,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ir@bluejaydx.com</w:t>
      </w:r>
      <w:r>
        <w:rPr>
          <w:rFonts w:ascii="Times New Roman;Times;Serif" w:hAnsi="Times New Roman;Times;Serif"/>
          <w:b/>
          <w:i/>
          <w:caps w:val="false"/>
          <w:smallCaps w:val="false"/>
          <w:sz w:val="20"/>
        </w:rPr>
        <w:br/>
        <w:t>Website: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1377</Words>
  <Characters>8315</Characters>
  <CharactersWithSpaces>9707</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