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9580-8k_bluejay.htm"/>
      <w:bookmarkStart w:id="1" w:name="ksea02895808k_blueja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5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048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525"/>
        <w:gridCol w:w="60"/>
        <w:gridCol w:w="1850"/>
        <w:gridCol w:w="60"/>
        <w:gridCol w:w="153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caps/>
                <w:sz w:val="20"/>
              </w:rPr>
            </w:pPr>
            <w:bookmarkStart w:id="5" w:name="xdx_900_edei--EntityIncorporationStateCo"/>
            <w:bookmarkEnd w:id="5"/>
            <w:r>
              <w:rPr>
                <w:rFonts w:ascii="Times New Roman;Times;Serif" w:hAnsi="Times New Roman;Times;Serif"/>
                <w:b/>
                <w:caps/>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507"/>
            <w:bookmarkEnd w:id="6"/>
            <w:r>
              <w:rPr>
                <w:rFonts w:ascii="Times New Roman;Times;Serif" w:hAnsi="Times New Roman;Times;Serif"/>
                <w:b/>
                <w:sz w:val="20"/>
              </w:rPr>
              <w:t>001-41031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47-3552922</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360 Massachusetts Avenue, </w:t>
      </w:r>
      <w:bookmarkStart w:id="9" w:name="xdx_90C_edei--EntityAddressAddressLine2_"/>
      <w:bookmarkEnd w:id="9"/>
      <w:r>
        <w:rPr>
          <w:rFonts w:ascii="Times New Roman;Times;Serif" w:hAnsi="Times New Roman;Times;Serif"/>
          <w:b/>
          <w:i w:val="false"/>
          <w:caps w:val="false"/>
          <w:smallCaps w:val="false"/>
          <w:sz w:val="20"/>
        </w:rPr>
        <w:t>Suite 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Acton, </w:t>
      </w:r>
      <w:bookmarkStart w:id="11" w:name="xdx_905_edei--EntityAddressStateOrProvin"/>
      <w:bookmarkEnd w:id="11"/>
      <w:r>
        <w:rPr>
          <w:rFonts w:ascii="Times New Roman;Times;Serif" w:hAnsi="Times New Roman;Times;Serif"/>
          <w:b/>
          <w:i w:val="false"/>
          <w:caps w:val="false"/>
          <w:smallCaps w:val="false"/>
          <w:sz w:val="20"/>
        </w:rPr>
        <w:t>MA</w:t>
      </w:r>
      <w:r>
        <w:rPr>
          <w:rFonts w:ascii="Times New Roman;Times;Serif" w:hAnsi="Times New Roman;Times;Serif"/>
          <w:b w:val="false"/>
          <w:i w:val="false"/>
          <w:caps w:val="false"/>
          <w:smallCaps w:val="false"/>
          <w:sz w:val="20"/>
        </w:rPr>
        <w:t> </w:t>
      </w:r>
      <w:bookmarkStart w:id="12" w:name="xdx_905_edei--EntityAddressPostalZipCode"/>
      <w:bookmarkEnd w:id="12"/>
      <w:r>
        <w:rPr>
          <w:rFonts w:ascii="Times New Roman;Times;Serif" w:hAnsi="Times New Roman;Times;Serif"/>
          <w:b/>
          <w:i w:val="false"/>
          <w:caps w:val="false"/>
          <w:smallCaps w:val="false"/>
          <w:sz w:val="20"/>
        </w:rPr>
        <w:t>01720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507__20"/>
      <w:bookmarkEnd w:id="13"/>
      <w:r>
        <w:rPr>
          <w:rFonts w:ascii="Times New Roman;Times;Serif" w:hAnsi="Times New Roman;Times;Serif"/>
          <w:b/>
          <w:i w:val="false"/>
          <w:caps w:val="false"/>
          <w:smallCaps w:val="false"/>
          <w:sz w:val="20"/>
        </w:rPr>
        <w:t>844) </w:t>
      </w:r>
      <w:bookmarkStart w:id="14" w:name="xdx_907_edei--LocalPhoneNumber_c20260507"/>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both"/>
              <w:rPr/>
            </w:pPr>
            <w:bookmarkStart w:id="15" w:name="xdx_90C_edei--WrittenCommunications_c202"/>
            <w:bookmarkEnd w:id="15"/>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r>
              <w:rPr/>
              <w:t> </w:t>
            </w:r>
          </w:p>
        </w:tc>
        <w:tc>
          <w:tcPr>
            <w:tcW w:w="91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6" w:name="xdx_90B_edei--SolicitingMaterial_c202605"/>
            <w:bookmarkEnd w:id="16"/>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r>
              <w:rPr/>
              <w:t> </w:t>
            </w:r>
          </w:p>
        </w:tc>
        <w:tc>
          <w:tcPr>
            <w:tcW w:w="91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7" w:name="xdx_900_edei--PreCommencementTenderOffer"/>
            <w:bookmarkEnd w:id="17"/>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r>
              <w:rPr/>
              <w:t> </w:t>
            </w:r>
          </w:p>
        </w:tc>
        <w:tc>
          <w:tcPr>
            <w:tcW w:w="91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8" w:name="xdx_903_edei--PreCommencementIssuerTende"/>
            <w:bookmarkEnd w:id="18"/>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240.13e-14(c))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7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E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 (s)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F_edei--Security12bTitle_c20260507"/>
            <w:bookmarkEnd w:id="21"/>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F_edei--TradingSymbol_c20260507__2"/>
            <w:bookmarkEnd w:id="22"/>
            <w:r>
              <w:rPr>
                <w:rFonts w:ascii="Times New Roman;Times;Serif" w:hAnsi="Times New Roman;Times;Serif"/>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3" w:name="xdx_90C_edei--SecurityExchangeName_c2026"/>
            <w:bookmarkEnd w:id="23"/>
            <w:r>
              <w:rPr>
                <w:rFonts w:ascii="Times New Roman;Times;Serif" w:hAnsi="Times New Roman;Times;Serif"/>
                <w:sz w:val="20"/>
              </w:rPr>
              <w:t>Nasdaq Stock Market LLC</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r>
        <w:rPr>
          <w:rFonts w:ascii="Times New Roman;Times;Serif" w:hAnsi="Times New Roman;Times;Serif"/>
          <w:b w:val="false"/>
          <w:i w:val="false"/>
          <w:caps w:val="false"/>
          <w:smallCaps w:val="false"/>
          <w:sz w:val="20"/>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Bluejay Diagnostics, Inc. issued a press release providing a corporate update, as well as certain financial results as of and for the fiscal quarter ended March 31, 2026. A copy of that press release is furnished with this report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including Exhibit 99.1, is being furnished and shall not be “filed” for the purpose of the Securities Exchange Act of 1934, as amended (“Exchange Act”), nor shall it be incorporated by reference in any filing under the Exchange Act or the Securities Act of 1933, as amended (“Securities Act”), unless specifically identified therein as being incorporated by reference.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530" w:type="dxa"/>
            <w:tcBorders/>
            <w:shd w:fill="CCEEFF" w:val="clear"/>
            <w:vAlign w:val="center"/>
          </w:tcPr>
          <w:p>
            <w:pPr>
              <w:pStyle w:val="TableContents"/>
              <w:bidi w:val="0"/>
              <w:spacing w:before="0" w:after="283"/>
              <w:jc w:val="left"/>
              <w:rPr/>
            </w:pPr>
            <w:hyperlink w:anchor="ea028958001ex99-1.htm">
              <w:r>
                <w:rPr>
                  <w:rStyle w:val="InternetLink"/>
                  <w:rFonts w:ascii="Times New Roman;Times;Serif" w:hAnsi="Times New Roman;Times;Serif"/>
                </w:rPr>
                <w:t>Press release, dated May 7, 2026</w:t>
              </w:r>
            </w:hyperlink>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firstLine="48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425"/>
        <w:gridCol w:w="3635"/>
      </w:tblGrid>
      <w:tr>
        <w:trPr/>
        <w:tc>
          <w:tcPr>
            <w:tcW w:w="7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b/>
              </w:rPr>
            </w:pPr>
            <w:r>
              <w:rPr>
                <w:b/>
              </w:rPr>
              <w:t>Bluejay Diagnostics, Inc.</w:t>
            </w:r>
          </w:p>
        </w:tc>
      </w:tr>
      <w:tr>
        <w:trPr/>
        <w:tc>
          <w:tcPr>
            <w:tcW w:w="7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3635" w:type="dxa"/>
            <w:tcBorders>
              <w:bottom w:val="single" w:sz="12" w:space="0" w:color="000000"/>
            </w:tcBorders>
            <w:tcMar>
              <w:bottom w:w="28" w:type="dxa"/>
            </w:tcMar>
            <w:vAlign w:val="center"/>
          </w:tcPr>
          <w:p>
            <w:pPr>
              <w:pStyle w:val="TableContents"/>
              <w:bidi w:val="0"/>
              <w:spacing w:before="0" w:after="283"/>
              <w:jc w:val="left"/>
              <w:rPr/>
            </w:pPr>
            <w:r>
              <w:rPr/>
              <w:t>/s/ Neil Dey</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Neil Dey</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pBdr/>
        <w:bidi w:val="0"/>
        <w:spacing w:before="0" w:after="0"/>
        <w:ind w:left="0" w:right="0" w:firstLine="48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28958001ex99-1.htm"/>
      <w:bookmarkStart w:id="25" w:name="ksea028958001ex991"/>
      <w:bookmarkEnd w:id="24"/>
      <w:bookmarkEnd w:id="25"/>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Provides First Quarter 2026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ACTON, Mass., May 7, 2026 — Bluejay Diagnostics, Inc. (“Bluejay” or the “Company”), a medical diagnostics company focused on improving patient outcomes in critical care settings, today provided a corporate update highlighting progress achieved during the first quarter of 2026 and recent operational developments related to its Symphony™ near-patient diagnostic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Bluejay continued advancing the clinical, manufacturing, and regulatory activities supporting the development of its Symphony IL-6 test for sepsis patient monitoring and risk assessment in critical care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 2026 and Recent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Continued enrollment progress in the ongoing SYMON-II pivotal clinical study evaluating the role of IL-6 in sepsis and septic shock patients. As of May 5, 2026, approximately 680 patients have been enrolled toward the target enrollment of 750 patients across participating clinical sites.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Advanced manufacturing readiness activities for Symphony cartridges in collaboration with Sanyoseiko Co. Ltd., Bluejay’s contract manufacturing organization. The Company successfully resolved technical issues related to the Symphony cartridge manufacturing process and is progressing toward analytical and clinical validation activities intended to support future regulatory submission.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Continued execution of Bluejay’s FDA-focused regulatory strategy for Symphony IL-6, with the Company maintaining its objective of preparing for a future 510(k) submission following completion of required analytical and clinical validation activities.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Continued development activities related to Bluejay’s broader Symphony platform strategy, which includes future potential applications in additional critical care biomarkers and cardiovascular disease monitoring.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 President and Chief Executive Officer of Bluejay Diagnostics, commented, “We believe the first quarter of 2026 represented meaningful operational progress across several key areas of our Symphony program. Most importantly, we continued strong enrollment momentum in our SYMON-II pivotal study while also advancing manufacturing readiness activities intended to support future analytical and clinical validation. We are encouraged by the progress our team and partners have made in positioning Symphony toward the next phase of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Dey continued, “We believe Symphony has the potential to address an important unmet need in critical care by enabling rapid, near-patient biomarker testing where time-sensitive clinical decisions are essential. As we continue executing our clinical and manufacturing roadmap, we remain focused on progressing toward regulatory readiness and future commercialization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Bluejay reported cash and cash equivalents of approximately $3.7 million. The Company reported a net loss of approximately $1.9 million for the first quarter of 2026, compared to approximately $1.9 million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 has continued to manage operating expenses with financial discipline while prioritizing critical clinical, manufacturing, and regulatory activities supporting the Symphony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12858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3810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Symphony IL-6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Symphony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Test platform is designed to determine patient acuity for triage and monitoring based on the measurement of a specific biomarker. The Symphony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IL-6 Test to determine patient acuity for sepsis triage and monitoring (“Symphony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IL-6 Test”) is currently Bluejay’s lead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Investigational device. Limited by United States law to investigational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SYMON Clinical Study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SYMON Clinical Study Program includes SYMON-I (clinicaltrials.gov ID NCT06181604), SYMON-II (NCT06654895), and SYMON-III (NCT07425587). SYMON-I is a pilot study to determine IL-6 levels associated with various endpoints, including, but not limited to 28-day all-cause mortality and in-hospital mortality. The SYMON-II study is the pivotal study to validate the outcomes of the SYMON-I study, which the Company plans to use to support a 510(k) application to the FDA. The SYMON-III study is a pilot study to determine IL-6 levels associated with patients presenting with increasing severity of infection in the emergency department and risk of developing sepsis.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Bluejay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 on Form 10-Q for the fiscal quarter ended March 31,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ir@bluejaydx.com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978-631-0310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Website: www.bluejaydx.com</w:t>
      </w:r>
    </w:p>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1519</Words>
  <Characters>8993</Characters>
  <CharactersWithSpaces>10528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