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955-8k_bluejay.htm"/>
      <w:bookmarkStart w:id="1" w:name="ksea02989558k_blueja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525"/>
        <w:gridCol w:w="60"/>
        <w:gridCol w:w="1850"/>
        <w:gridCol w:w="60"/>
        <w:gridCol w:w="1535"/>
      </w:tblGrid>
      <w:tr>
        <w:trPr/>
        <w:tc>
          <w:tcPr>
            <w:tcW w:w="2525" w:type="dxa"/>
            <w:tcBorders>
              <w:bottom w:val="single" w:sz="12" w:space="0" w:color="000000"/>
            </w:tcBorders>
            <w:vAlign w:val="center"/>
          </w:tcPr>
          <w:p>
            <w:pPr>
              <w:pStyle w:val="TableContents"/>
              <w:bidi w:val="0"/>
              <w:spacing w:before="0" w:after="283"/>
              <w:jc w:val="center"/>
              <w:rPr>
                <w:b/>
                <w:caps/>
                <w:sz w:val="20"/>
              </w:rPr>
            </w:pPr>
            <w:bookmarkStart w:id="5" w:name="xdx_908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b/>
                <w:sz w:val="20"/>
              </w:rPr>
            </w:pPr>
            <w:bookmarkStart w:id="6" w:name="xdx_903_edei--EntityFileNumber_c20260721"/>
            <w:bookmarkEnd w:id="6"/>
            <w:r>
              <w:rPr>
                <w:b/>
                <w:sz w:val="20"/>
              </w:rPr>
              <w:t>001-41031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47-3552922</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sz w:val="20"/>
              </w:rPr>
            </w:pPr>
            <w:r>
              <w:rPr>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360 Massachusetts Avenue, </w:t>
      </w:r>
      <w:bookmarkStart w:id="9" w:name="xdx_908_edei--EntityAddressAddressLine2_"/>
      <w:bookmarkEnd w:id="9"/>
      <w:r>
        <w:rPr>
          <w:rFonts w:ascii="Times New Roman;Times;Serif" w:hAnsi="Times New Roman;Times;Serif"/>
          <w:b/>
          <w:i w:val="false"/>
          <w:caps w:val="false"/>
          <w:smallCaps w:val="false"/>
          <w:sz w:val="20"/>
        </w:rPr>
        <w:t>Suite 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Acton, </w:t>
      </w:r>
      <w:bookmarkStart w:id="11" w:name="xdx_909_edei--EntityAddressStateOrProvin"/>
      <w:bookmarkEnd w:id="11"/>
      <w:r>
        <w:rPr>
          <w:rFonts w:ascii="Times New Roman;Times;Serif" w:hAnsi="Times New Roman;Times;Serif"/>
          <w:b/>
          <w:i w:val="false"/>
          <w:caps w:val="false"/>
          <w:smallCaps w:val="false"/>
          <w:sz w:val="20"/>
        </w:rPr>
        <w:t>MA</w:t>
      </w:r>
      <w:r>
        <w:rPr>
          <w:rFonts w:ascii="Times New Roman;Times;Serif" w:hAnsi="Times New Roman;Times;Serif"/>
          <w:b w:val="false"/>
          <w:i w:val="false"/>
          <w:caps w:val="false"/>
          <w:smallCaps w:val="false"/>
          <w:sz w:val="20"/>
        </w:rPr>
        <w:t xml:space="preserve"> </w:t>
      </w:r>
      <w:bookmarkStart w:id="12" w:name="xdx_902_edei--EntityAddressPostalZipCode"/>
      <w:bookmarkEnd w:id="12"/>
      <w:r>
        <w:rPr>
          <w:rFonts w:ascii="Times New Roman;Times;Serif" w:hAnsi="Times New Roman;Times;Serif"/>
          <w:b/>
          <w:i w:val="false"/>
          <w:caps w:val="false"/>
          <w:smallCaps w:val="false"/>
          <w:sz w:val="20"/>
        </w:rPr>
        <w:t>01720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721__20"/>
      <w:bookmarkEnd w:id="13"/>
      <w:r>
        <w:rPr>
          <w:rFonts w:ascii="Times New Roman;Times;Serif" w:hAnsi="Times New Roman;Times;Serif"/>
          <w:b/>
          <w:i w:val="false"/>
          <w:caps w:val="false"/>
          <w:smallCaps w:val="false"/>
          <w:sz w:val="20"/>
        </w:rPr>
        <w:t>844) </w:t>
      </w:r>
      <w:bookmarkStart w:id="14" w:name="xdx_90C_edei--LocalPhoneNumber_c20260721"/>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9110"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607"/>
            <w:bookmarkEnd w:id="16"/>
            <w:r>
              <w:rPr/>
              <w:t>☐</w:t>
            </w:r>
          </w:p>
        </w:tc>
        <w:tc>
          <w:tcPr>
            <w:tcW w:w="911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110" w:type="dxa"/>
            <w:tcBorders/>
            <w:vAlign w:val="center"/>
          </w:tcPr>
          <w:p>
            <w:pPr>
              <w:pStyle w:val="TableContents"/>
              <w:bidi w:val="0"/>
              <w:spacing w:before="0" w:after="283"/>
              <w:jc w:val="left"/>
              <w:rPr>
                <w:sz w:val="20"/>
              </w:rPr>
            </w:pPr>
            <w:r>
              <w:rPr>
                <w:sz w:val="20"/>
              </w:rPr>
              <w:t>Pre-commencement communications pursuant to Rule 13e-4(c) under the Exchange Act (17 CFR 240.13e-14(c))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6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2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1" w:name="xdx_90D_edei--Security12bTitle_c20260721"/>
            <w:bookmarkEnd w:id="21"/>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sz w:val="20"/>
              </w:rPr>
            </w:pPr>
            <w:bookmarkStart w:id="22" w:name="xdx_906_edei--TradingSymbol_c20260721__2"/>
            <w:bookmarkEnd w:id="22"/>
            <w:r>
              <w:rPr>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3" w:name="xdx_901_edei--SecurityExchangeName_c2026"/>
            <w:bookmarkEnd w:id="23"/>
            <w:r>
              <w:rPr>
                <w:sz w:val="20"/>
              </w:rPr>
              <w:t>Nasdaq Stock Market LLC</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Bluejay Diagnostics, Inc. issued a press release regarding the completion of patient enrollment in its ongoing SYMON-II clinical trial.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 99.1, is being furnished and shall not be “filed” for the purpose of the Securities Exchange Act of 1934, as amended, nor shall it be incorporated by reference in any filing under the Exchange Act or the Securities Act of 1933, as amended, unless specifically identified therein as being incorporated by reference.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95"/>
        <w:gridCol w:w="60"/>
        <w:gridCol w:w="6530"/>
      </w:tblGrid>
      <w:tr>
        <w:trPr/>
        <w:tc>
          <w:tcPr>
            <w:tcW w:w="39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6530" w:type="dxa"/>
            <w:tcBorders/>
            <w:shd w:fill="CCEEFF" w:val="clear"/>
            <w:vAlign w:val="center"/>
          </w:tcPr>
          <w:p>
            <w:pPr>
              <w:pStyle w:val="TableContents"/>
              <w:bidi w:val="0"/>
              <w:spacing w:before="0" w:after="283"/>
              <w:jc w:val="left"/>
              <w:rPr/>
            </w:pPr>
            <w:hyperlink w:anchor="ea029895501ex99-1.htm">
              <w:r>
                <w:rPr>
                  <w:rStyle w:val="InternetLink"/>
                  <w:sz w:val="20"/>
                </w:rPr>
                <w:t>Press Release, dated July 21, 2026.</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firstLine="48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b/>
              </w:rPr>
            </w:pPr>
            <w:r>
              <w:rPr>
                <w:b/>
              </w:rPr>
              <w:t>Bluejay Diagnostics, Inc.</w:t>
            </w:r>
          </w:p>
        </w:tc>
      </w:tr>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895501ex99-1.htm"/>
      <w:bookmarkStart w:id="25" w:name="ksea0298955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Announces Successful Completion of Enrollment in the SYMON-II Multicenter Clinical Validation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750 Patients Enrolled Ahead of Plan in Pivotal Study Evaluating Symphony™ IL-6 for Early Assessment of 28-Day Sepsis Mortality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ACTON, Mass., July 21, 2026 – Bluejay Diagnostics, Inc. (NASDAQ: BJDX), a medical diagnostics company developing rapid, near-patient diagnostic technologies for critical care, today announced the successful completion of patient enrollment in its SYMON-II multicenter clinical validation study. The study achieved its targeted enrollment of 750 patients earlier than the Company had originally anticipated, representing an important operational milestone in the development of the Company’s Symphony™ rapid diagnostic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SYMON-II is a prospective, multicenter clinical validation study designed to evaluate the ability of Bluejay’s Symphony™ IL-6 test to assist clinicians in the early assessment of 28-day all-cause mortality risk in patients with sepsis who were admitted or intended for admission to the intensive care unit (ICU). The study enrolled patients across leading U.S. healthcare institutions, and the Company expects that it will provide the clinical dataset needed to analyze whether clinical evidence supports future regulatory submissions and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observations from the enrolled population indicate an approximately 17% 28-day mortality rate, providing a robust clinical dataset for evaluating the prognostic utility of IL-6 in patients presenting with sepsis. Bluejay believes this event rate represents a clinically meaningful population and underscores the importance of early identification of patients at elevated risk of deterioration.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Mark Feinberg, Chief Medical Advisor of Bluejay Diagnostics, commented: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Sepsis remains one of the leading causes of hospital mortality worldwide, and timely identification of patients at greatest risk continues to be one of the most significant challenges in emergency and critical care medicine. The successful completion of SYMON-II’s enrollment represents an important advancement in evaluating the clinical utility of IL-6 as an early prognostic biomarker. The study’s large, well-characterized patient population and meaningful number of mortality events are expected to provide a robust foundation for assessing the prognostic performance of IL-6. If supported by the study results, rapid IL-6 testing could help clinicians identify high-risk patients earlier, improve risk stratification and triage decisions, and potentially enable more timely therapeutic interventions.”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Successfully completing enrollment ahead of schedule is an important operational achievement and reflects the dedication of our clinical investigators, study coordinators, and Bluejay’s clinical and technical teams,” said Neil Dey, President and Chief Executive Officer of Bluejay Diagnostics. “The enrollment of 750 patients provides one of the largest prospective datasets focused on the role of IL-6 in early sepsis mortality risk assessment. We believe this study represents an important step toward bringing clinicians a rapid, near-patient tool capable of supporting earlier and more informed clinical decision-making in one of medicine’s most time-critical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complete data cleaning, statistical analysis, and clinical reporting over the coming months. Results from the study are anticipated to be a critical component of Bluejay’s planned regulatory strategy for the Symphony™ IL-6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Symphony™ platform is designed to provide rapid, quantitative biomarker results directly at or near the patient’s bedside, supporting clinical decision-making in emergency departments, intensive care units, and other critical care settings. The platform is intended to integrate seamlessly into existing clinical workflows while enabling future expansion to additional biomarkers and AI-enabled clinical decision support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SYMON-II enrollment represents another important milestone in Bluejay’s broader strategy to advance Symphony™ toward regulatory submission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Company’s Symphony™ rapid diagnostic platform is an investigational device and is limited by United States law to investigational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the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 on Form 10-Q for the fiscal quarter ended March 31,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neil.dey@bluejaydx.com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Website: www.bluejaydx.com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1570</Words>
  <Characters>9409</Characters>
  <CharactersWithSpaces>10998</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