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___ )*</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Bluejay Diagnostics,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095633103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Douglas C. Wurth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360 Massachusetts Avenue, Suite 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Acton, MA 01720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(844) 327-7078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Address and Telephone Number of Person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66"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ind w:left="1392"/>
        <w:spacing w:after="0"/>
        <w:tabs>
          <w:tab w:leader="none" w:pos="5452" w:val="left"/>
          <w:tab w:leader="none" w:pos="8332" w:val="left"/>
        </w:tabs>
        <w:rPr>
          <w:sz w:val="20"/>
          <w:szCs w:val="20"/>
          <w:color w:val="auto"/>
        </w:rPr>
      </w:pPr>
      <w:r>
        <w:rPr>
          <w:rFonts w:ascii="Arial" w:cs="Arial" w:eastAsia="Arial" w:hAnsi="Arial"/>
          <w:sz w:val="18"/>
          <w:szCs w:val="18"/>
          <w:color w:val="auto"/>
        </w:rPr>
        <w:t>CUSIP No. 095633103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642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420485"/>
                    </a:xfrm>
                    <a:prstGeom prst="rect">
                      <a:avLst/>
                    </a:prstGeom>
                    <a:noFill/>
                  </pic:spPr>
                </pic:pic>
              </a:graphicData>
            </a:graphic>
          </wp:anchor>
        </w:drawing>
      </w:r>
    </w:p>
    <w:p>
      <w:pPr>
        <w:spacing w:after="0" w:line="286" w:lineRule="exact"/>
        <w:rPr>
          <w:sz w:val="20"/>
          <w:szCs w:val="20"/>
          <w:color w:val="auto"/>
        </w:rPr>
      </w:pPr>
    </w:p>
    <w:p>
      <w:pPr>
        <w:ind w:left="912" w:hanging="525"/>
        <w:spacing w:after="0"/>
        <w:tabs>
          <w:tab w:leader="none" w:pos="912"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Douglas C. Wurth</w:t>
      </w:r>
    </w:p>
    <w:p>
      <w:pPr>
        <w:spacing w:after="0" w:line="144" w:lineRule="exact"/>
        <w:rPr>
          <w:sz w:val="20"/>
          <w:szCs w:val="20"/>
          <w:color w:val="auto"/>
        </w:rPr>
      </w:pPr>
    </w:p>
    <w:p>
      <w:pPr>
        <w:ind w:left="912" w:hanging="525"/>
        <w:spacing w:after="0"/>
        <w:tabs>
          <w:tab w:leader="none" w:pos="912"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sz w:val="20"/>
          <w:szCs w:val="20"/>
          <w:color w:val="auto"/>
        </w:rPr>
      </w:pPr>
    </w:p>
    <w:p>
      <w:pPr>
        <w:ind w:left="10752"/>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10732"/>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35" w:lineRule="exact"/>
        <w:rPr>
          <w:sz w:val="20"/>
          <w:szCs w:val="20"/>
          <w:color w:val="auto"/>
        </w:rPr>
      </w:pPr>
    </w:p>
    <w:p>
      <w:pPr>
        <w:ind w:left="912" w:hanging="525"/>
        <w:spacing w:after="0"/>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sz w:val="20"/>
          <w:szCs w:val="20"/>
          <w:color w:val="auto"/>
        </w:rPr>
      </w:pPr>
    </w:p>
    <w:p>
      <w:pPr>
        <w:ind w:left="912" w:right="7820" w:hanging="525"/>
        <w:spacing w:after="0" w:line="277" w:lineRule="auto"/>
        <w:tabs>
          <w:tab w:leader="none" w:pos="91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 PF / AF</w:t>
      </w:r>
    </w:p>
    <w:p>
      <w:pPr>
        <w:spacing w:after="0" w:line="89" w:lineRule="exact"/>
        <w:rPr>
          <w:sz w:val="20"/>
          <w:szCs w:val="20"/>
          <w:color w:val="auto"/>
        </w:rPr>
      </w:pPr>
    </w:p>
    <w:p>
      <w:pPr>
        <w:ind w:left="912" w:hanging="525"/>
        <w:spacing w:after="0"/>
        <w:tabs>
          <w:tab w:leader="none" w:pos="91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rFonts w:ascii="Arial" w:cs="Arial" w:eastAsia="Arial" w:hAnsi="Arial"/>
          <w:sz w:val="18"/>
          <w:szCs w:val="18"/>
          <w:color w:val="auto"/>
        </w:rPr>
      </w:pPr>
    </w:p>
    <w:p>
      <w:pPr>
        <w:ind w:left="91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2" w:lineRule="exact"/>
        <w:rPr>
          <w:sz w:val="20"/>
          <w:szCs w:val="20"/>
          <w:color w:val="auto"/>
        </w:rPr>
      </w:pPr>
    </w:p>
    <w:p>
      <w:pPr>
        <w:ind w:left="912" w:hanging="525"/>
        <w:spacing w:after="0"/>
        <w:tabs>
          <w:tab w:leader="none" w:pos="912"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144" w:lineRule="exact"/>
        <w:rPr>
          <w:rFonts w:ascii="Arial" w:cs="Arial" w:eastAsia="Arial" w:hAnsi="Arial"/>
          <w:sz w:val="18"/>
          <w:szCs w:val="18"/>
          <w:color w:val="auto"/>
        </w:rPr>
      </w:pPr>
    </w:p>
    <w:p>
      <w:pPr>
        <w:ind w:left="2292"/>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Sole Voting Power</w:t>
      </w:r>
    </w:p>
    <w:p>
      <w:pPr>
        <w:spacing w:after="0" w:line="175" w:lineRule="exact"/>
        <w:rPr>
          <w:sz w:val="20"/>
          <w:szCs w:val="20"/>
          <w:color w:val="auto"/>
        </w:rPr>
      </w:pPr>
    </w:p>
    <w:tbl>
      <w:tblPr>
        <w:tblLayout w:type="fixed"/>
        <w:tblInd w:w="552" w:type="dxa"/>
        <w:tblCellMar>
          <w:top w:w="0" w:type="dxa"/>
          <w:left w:w="0" w:type="dxa"/>
          <w:bottom w:w="0" w:type="dxa"/>
          <w:right w:w="0" w:type="dxa"/>
        </w:tblCellMar>
      </w:tblPr>
      <w:tr>
        <w:trPr>
          <w:trHeight w:val="333"/>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0" w:type="dxa"/>
            <w:vAlign w:val="bottom"/>
          </w:tcPr>
          <w:p>
            <w:pPr>
              <w:ind w:left="180"/>
              <w:spacing w:after="0"/>
              <w:rPr>
                <w:sz w:val="20"/>
                <w:szCs w:val="20"/>
                <w:color w:val="auto"/>
              </w:rPr>
            </w:pPr>
            <w:r>
              <w:rPr>
                <w:rFonts w:ascii="Arial" w:cs="Arial" w:eastAsia="Arial" w:hAnsi="Arial"/>
                <w:sz w:val="18"/>
                <w:szCs w:val="18"/>
                <w:color w:val="auto"/>
              </w:rPr>
              <w:t>2,351,577</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48"/>
        </w:trPr>
        <w:tc>
          <w:tcPr>
            <w:tcW w:w="1360" w:type="dxa"/>
            <w:vAlign w:val="bottom"/>
            <w:vMerge w:val="restart"/>
          </w:tcPr>
          <w:p>
            <w:pPr>
              <w:jc w:val="center"/>
              <w:ind w:right="390"/>
              <w:spacing w:after="0"/>
              <w:rPr>
                <w:sz w:val="20"/>
                <w:szCs w:val="20"/>
                <w:color w:val="auto"/>
              </w:rPr>
            </w:pPr>
            <w:r>
              <w:rPr>
                <w:rFonts w:ascii="Arial" w:cs="Arial" w:eastAsia="Arial" w:hAnsi="Arial"/>
                <w:sz w:val="18"/>
                <w:szCs w:val="18"/>
                <w:color w:val="auto"/>
                <w:w w:val="95"/>
              </w:rPr>
              <w:t>Number of</w:t>
            </w:r>
          </w:p>
        </w:tc>
        <w:tc>
          <w:tcPr>
            <w:tcW w:w="720" w:type="dxa"/>
            <w:vAlign w:val="bottom"/>
            <w:tcBorders>
              <w:bottom w:val="single" w:sz="8" w:color="auto"/>
            </w:tcBorders>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360" w:type="dxa"/>
            <w:vAlign w:val="bottom"/>
            <w:vMerge w:val="continue"/>
          </w:tcPr>
          <w:p>
            <w:pPr>
              <w:spacing w:after="0"/>
              <w:rPr>
                <w:sz w:val="12"/>
                <w:szCs w:val="12"/>
                <w:color w:val="auto"/>
              </w:rPr>
            </w:pPr>
          </w:p>
        </w:tc>
        <w:tc>
          <w:tcPr>
            <w:tcW w:w="720" w:type="dxa"/>
            <w:vAlign w:val="bottom"/>
            <w:vMerge w:val="restart"/>
          </w:tcPr>
          <w:p>
            <w:pPr>
              <w:jc w:val="center"/>
              <w:ind w:left="30"/>
              <w:spacing w:after="0"/>
              <w:rPr>
                <w:sz w:val="20"/>
                <w:szCs w:val="20"/>
                <w:color w:val="auto"/>
              </w:rPr>
            </w:pPr>
            <w:r>
              <w:rPr>
                <w:rFonts w:ascii="Arial" w:cs="Arial" w:eastAsia="Arial" w:hAnsi="Arial"/>
                <w:sz w:val="18"/>
                <w:szCs w:val="18"/>
                <w:color w:val="auto"/>
                <w:w w:val="79"/>
              </w:rPr>
              <w:t>8</w:t>
            </w:r>
          </w:p>
        </w:tc>
        <w:tc>
          <w:tcPr>
            <w:tcW w:w="860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ind w:right="390"/>
              <w:spacing w:after="0"/>
              <w:rPr>
                <w:sz w:val="20"/>
                <w:szCs w:val="20"/>
                <w:color w:val="auto"/>
              </w:rPr>
            </w:pPr>
            <w:r>
              <w:rPr>
                <w:rFonts w:ascii="Arial" w:cs="Arial" w:eastAsia="Arial" w:hAnsi="Arial"/>
                <w:sz w:val="18"/>
                <w:szCs w:val="18"/>
                <w:color w:val="auto"/>
                <w:w w:val="84"/>
              </w:rPr>
              <w:t>Shares</w:t>
            </w:r>
          </w:p>
        </w:tc>
        <w:tc>
          <w:tcPr>
            <w:tcW w:w="720" w:type="dxa"/>
            <w:vAlign w:val="bottom"/>
            <w:vMerge w:val="continue"/>
          </w:tcPr>
          <w:p>
            <w:pPr>
              <w:spacing w:after="0"/>
              <w:rPr>
                <w:sz w:val="10"/>
                <w:szCs w:val="10"/>
                <w:color w:val="auto"/>
              </w:rPr>
            </w:pPr>
          </w:p>
        </w:tc>
        <w:tc>
          <w:tcPr>
            <w:tcW w:w="8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390"/>
              <w:spacing w:after="0"/>
              <w:rPr>
                <w:sz w:val="20"/>
                <w:szCs w:val="20"/>
                <w:color w:val="auto"/>
              </w:rPr>
            </w:pPr>
            <w:r>
              <w:rPr>
                <w:rFonts w:ascii="Arial" w:cs="Arial" w:eastAsia="Arial" w:hAnsi="Arial"/>
                <w:sz w:val="18"/>
                <w:szCs w:val="18"/>
                <w:color w:val="auto"/>
                <w:w w:val="96"/>
              </w:rPr>
              <w:t>Beneficially</w:t>
            </w:r>
          </w:p>
        </w:tc>
        <w:tc>
          <w:tcPr>
            <w:tcW w:w="720" w:type="dxa"/>
            <w:vAlign w:val="bottom"/>
          </w:tcPr>
          <w:p>
            <w:pPr>
              <w:spacing w:after="0"/>
              <w:rPr>
                <w:sz w:val="18"/>
                <w:szCs w:val="18"/>
                <w:color w:val="auto"/>
              </w:rPr>
            </w:pPr>
          </w:p>
        </w:tc>
        <w:tc>
          <w:tcPr>
            <w:tcW w:w="8600" w:type="dxa"/>
            <w:vAlign w:val="bottom"/>
            <w:vMerge w:val="restart"/>
          </w:tcPr>
          <w:p>
            <w:pPr>
              <w:ind w:left="180"/>
              <w:spacing w:after="0"/>
              <w:rPr>
                <w:sz w:val="20"/>
                <w:szCs w:val="20"/>
                <w:color w:val="auto"/>
              </w:rPr>
            </w:pPr>
            <w:r>
              <w:rPr>
                <w:rFonts w:ascii="Arial" w:cs="Arial" w:eastAsia="Arial" w:hAnsi="Arial"/>
                <w:sz w:val="18"/>
                <w:szCs w:val="18"/>
                <w:color w:val="auto"/>
              </w:rPr>
              <w:t>1,170,883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176"/>
        </w:trPr>
        <w:tc>
          <w:tcPr>
            <w:tcW w:w="13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Owned by</w:t>
            </w:r>
          </w:p>
        </w:tc>
        <w:tc>
          <w:tcPr>
            <w:tcW w:w="720" w:type="dxa"/>
            <w:vAlign w:val="bottom"/>
          </w:tcPr>
          <w:p>
            <w:pPr>
              <w:spacing w:after="0"/>
              <w:rPr>
                <w:sz w:val="15"/>
                <w:szCs w:val="15"/>
                <w:color w:val="auto"/>
              </w:rPr>
            </w:pPr>
          </w:p>
        </w:tc>
        <w:tc>
          <w:tcPr>
            <w:tcW w:w="8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360" w:type="dxa"/>
            <w:vAlign w:val="bottom"/>
          </w:tcPr>
          <w:p>
            <w:pPr>
              <w:jc w:val="center"/>
              <w:ind w:right="390"/>
              <w:spacing w:after="0" w:line="189" w:lineRule="exact"/>
              <w:rPr>
                <w:sz w:val="20"/>
                <w:szCs w:val="20"/>
                <w:color w:val="auto"/>
              </w:rPr>
            </w:pPr>
            <w:r>
              <w:rPr>
                <w:rFonts w:ascii="Arial" w:cs="Arial" w:eastAsia="Arial" w:hAnsi="Arial"/>
                <w:sz w:val="18"/>
                <w:szCs w:val="18"/>
                <w:color w:val="auto"/>
                <w:w w:val="87"/>
              </w:rPr>
              <w:t>Each</w:t>
            </w:r>
          </w:p>
        </w:tc>
        <w:tc>
          <w:tcPr>
            <w:tcW w:w="720" w:type="dxa"/>
            <w:vAlign w:val="bottom"/>
            <w:vMerge w:val="restart"/>
          </w:tcPr>
          <w:p>
            <w:pPr>
              <w:jc w:val="center"/>
              <w:ind w:left="30"/>
              <w:spacing w:after="0"/>
              <w:rPr>
                <w:sz w:val="20"/>
                <w:szCs w:val="20"/>
                <w:color w:val="auto"/>
              </w:rPr>
            </w:pPr>
            <w:r>
              <w:rPr>
                <w:rFonts w:ascii="Arial" w:cs="Arial" w:eastAsia="Arial" w:hAnsi="Arial"/>
                <w:sz w:val="18"/>
                <w:szCs w:val="18"/>
                <w:color w:val="auto"/>
                <w:w w:val="79"/>
              </w:rPr>
              <w:t>9</w:t>
            </w:r>
          </w:p>
        </w:tc>
        <w:tc>
          <w:tcPr>
            <w:tcW w:w="86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36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Reporting</w:t>
            </w:r>
          </w:p>
        </w:tc>
        <w:tc>
          <w:tcPr>
            <w:tcW w:w="720" w:type="dxa"/>
            <w:vAlign w:val="bottom"/>
            <w:vMerge w:val="continue"/>
          </w:tcPr>
          <w:p>
            <w:pPr>
              <w:spacing w:after="0"/>
              <w:rPr>
                <w:sz w:val="7"/>
                <w:szCs w:val="7"/>
                <w:color w:val="auto"/>
              </w:rPr>
            </w:pPr>
          </w:p>
        </w:tc>
        <w:tc>
          <w:tcPr>
            <w:tcW w:w="8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390"/>
              <w:spacing w:after="0"/>
              <w:rPr>
                <w:sz w:val="20"/>
                <w:szCs w:val="20"/>
                <w:color w:val="auto"/>
              </w:rPr>
            </w:pPr>
            <w:r>
              <w:rPr>
                <w:rFonts w:ascii="Arial" w:cs="Arial" w:eastAsia="Arial" w:hAnsi="Arial"/>
                <w:sz w:val="18"/>
                <w:szCs w:val="18"/>
                <w:color w:val="auto"/>
                <w:w w:val="84"/>
              </w:rPr>
              <w:t>Person</w:t>
            </w:r>
          </w:p>
        </w:tc>
        <w:tc>
          <w:tcPr>
            <w:tcW w:w="720" w:type="dxa"/>
            <w:vAlign w:val="bottom"/>
          </w:tcPr>
          <w:p>
            <w:pPr>
              <w:spacing w:after="0"/>
              <w:rPr>
                <w:sz w:val="18"/>
                <w:szCs w:val="18"/>
                <w:color w:val="auto"/>
              </w:rPr>
            </w:pPr>
          </w:p>
        </w:tc>
        <w:tc>
          <w:tcPr>
            <w:tcW w:w="8600" w:type="dxa"/>
            <w:vAlign w:val="bottom"/>
            <w:vMerge w:val="restart"/>
          </w:tcPr>
          <w:p>
            <w:pPr>
              <w:ind w:left="180"/>
              <w:spacing w:after="0"/>
              <w:rPr>
                <w:sz w:val="20"/>
                <w:szCs w:val="20"/>
                <w:color w:val="auto"/>
              </w:rPr>
            </w:pPr>
            <w:r>
              <w:rPr>
                <w:rFonts w:ascii="Arial" w:cs="Arial" w:eastAsia="Arial" w:hAnsi="Arial"/>
                <w:sz w:val="18"/>
                <w:szCs w:val="18"/>
                <w:color w:val="auto"/>
              </w:rPr>
              <w:t>2,351,577</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176"/>
        </w:trPr>
        <w:tc>
          <w:tcPr>
            <w:tcW w:w="1360" w:type="dxa"/>
            <w:vAlign w:val="bottom"/>
            <w:vMerge w:val="restart"/>
          </w:tcPr>
          <w:p>
            <w:pPr>
              <w:jc w:val="center"/>
              <w:ind w:right="390"/>
              <w:spacing w:after="0" w:line="203" w:lineRule="exact"/>
              <w:rPr>
                <w:sz w:val="20"/>
                <w:szCs w:val="20"/>
                <w:color w:val="auto"/>
              </w:rPr>
            </w:pPr>
            <w:r>
              <w:rPr>
                <w:rFonts w:ascii="Arial" w:cs="Arial" w:eastAsia="Arial" w:hAnsi="Arial"/>
                <w:sz w:val="18"/>
                <w:szCs w:val="18"/>
                <w:color w:val="auto"/>
                <w:w w:val="99"/>
              </w:rPr>
              <w:t>With</w:t>
            </w:r>
          </w:p>
        </w:tc>
        <w:tc>
          <w:tcPr>
            <w:tcW w:w="720" w:type="dxa"/>
            <w:vAlign w:val="bottom"/>
          </w:tcPr>
          <w:p>
            <w:pPr>
              <w:spacing w:after="0"/>
              <w:rPr>
                <w:sz w:val="15"/>
                <w:szCs w:val="15"/>
                <w:color w:val="auto"/>
              </w:rPr>
            </w:pPr>
          </w:p>
        </w:tc>
        <w:tc>
          <w:tcPr>
            <w:tcW w:w="8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360" w:type="dxa"/>
            <w:vAlign w:val="bottom"/>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60" w:type="dxa"/>
            <w:vAlign w:val="bottom"/>
          </w:tcPr>
          <w:p>
            <w:pPr>
              <w:spacing w:after="0"/>
              <w:rPr>
                <w:sz w:val="21"/>
                <w:szCs w:val="21"/>
                <w:color w:val="auto"/>
              </w:rPr>
            </w:pPr>
          </w:p>
        </w:tc>
        <w:tc>
          <w:tcPr>
            <w:tcW w:w="720" w:type="dxa"/>
            <w:vAlign w:val="bottom"/>
          </w:tcPr>
          <w:p>
            <w:pPr>
              <w:jc w:val="center"/>
              <w:ind w:left="50"/>
              <w:spacing w:after="0"/>
              <w:rPr>
                <w:sz w:val="20"/>
                <w:szCs w:val="20"/>
                <w:color w:val="auto"/>
              </w:rPr>
            </w:pPr>
            <w:r>
              <w:rPr>
                <w:rFonts w:ascii="Arial" w:cs="Arial" w:eastAsia="Arial" w:hAnsi="Arial"/>
                <w:sz w:val="18"/>
                <w:szCs w:val="18"/>
                <w:color w:val="auto"/>
                <w:w w:val="89"/>
              </w:rPr>
              <w:t>10</w:t>
            </w:r>
          </w:p>
        </w:tc>
        <w:tc>
          <w:tcPr>
            <w:tcW w:w="86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812"/>
        <w:spacing w:after="0"/>
        <w:rPr>
          <w:sz w:val="20"/>
          <w:szCs w:val="20"/>
          <w:color w:val="auto"/>
        </w:rPr>
      </w:pPr>
      <w:r>
        <w:rPr>
          <w:rFonts w:ascii="Arial" w:cs="Arial" w:eastAsia="Arial" w:hAnsi="Arial"/>
          <w:sz w:val="18"/>
          <w:szCs w:val="18"/>
          <w:color w:val="auto"/>
        </w:rPr>
        <w:t>1,170,883</w:t>
      </w:r>
      <w:r>
        <w:rPr>
          <w:rFonts w:ascii="Arial" w:cs="Arial" w:eastAsia="Arial" w:hAnsi="Arial"/>
          <w:sz w:val="29"/>
          <w:szCs w:val="29"/>
          <w:color w:val="auto"/>
          <w:vertAlign w:val="superscript"/>
        </w:rPr>
        <w:t>+‡</w:t>
      </w:r>
    </w:p>
    <w:p>
      <w:pPr>
        <w:spacing w:after="0" w:line="57" w:lineRule="exact"/>
        <w:rPr>
          <w:sz w:val="20"/>
          <w:szCs w:val="20"/>
          <w:color w:val="auto"/>
        </w:rPr>
      </w:pPr>
    </w:p>
    <w:p>
      <w:pPr>
        <w:ind w:left="912" w:right="5520" w:hanging="567"/>
        <w:spacing w:after="0" w:line="365" w:lineRule="auto"/>
        <w:tabs>
          <w:tab w:leader="none" w:pos="912"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3,522,460</w:t>
      </w:r>
      <w:r>
        <w:rPr>
          <w:rFonts w:ascii="Arial" w:cs="Arial" w:eastAsia="Arial" w:hAnsi="Arial"/>
          <w:sz w:val="29"/>
          <w:szCs w:val="29"/>
          <w:color w:val="auto"/>
          <w:vertAlign w:val="superscript"/>
        </w:rPr>
        <w:t>+‡†</w:t>
      </w:r>
    </w:p>
    <w:p>
      <w:pPr>
        <w:spacing w:after="0" w:line="1" w:lineRule="exact"/>
        <w:rPr>
          <w:rFonts w:ascii="Arial" w:cs="Arial" w:eastAsia="Arial" w:hAnsi="Arial"/>
          <w:sz w:val="18"/>
          <w:szCs w:val="18"/>
          <w:color w:val="auto"/>
        </w:rPr>
      </w:pPr>
    </w:p>
    <w:p>
      <w:pPr>
        <w:ind w:left="912" w:hanging="570"/>
        <w:spacing w:after="0"/>
        <w:tabs>
          <w:tab w:leader="none" w:pos="912"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6" w:lineRule="exact"/>
        <w:rPr>
          <w:rFonts w:ascii="Arial" w:cs="Arial" w:eastAsia="Arial" w:hAnsi="Arial"/>
          <w:sz w:val="18"/>
          <w:szCs w:val="18"/>
          <w:color w:val="auto"/>
        </w:rPr>
      </w:pPr>
    </w:p>
    <w:p>
      <w:pPr>
        <w:ind w:left="91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1" w:lineRule="exact"/>
        <w:rPr>
          <w:rFonts w:ascii="Arial" w:cs="Arial" w:eastAsia="Arial" w:hAnsi="Arial"/>
          <w:sz w:val="18"/>
          <w:szCs w:val="18"/>
          <w:color w:val="auto"/>
        </w:rPr>
      </w:pPr>
    </w:p>
    <w:p>
      <w:pPr>
        <w:ind w:left="912" w:hanging="570"/>
        <w:spacing w:after="0"/>
        <w:tabs>
          <w:tab w:leader="none" w:pos="912"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5"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27.26%*</w:t>
      </w:r>
    </w:p>
    <w:p>
      <w:pPr>
        <w:spacing w:after="0" w:line="144" w:lineRule="exact"/>
        <w:rPr>
          <w:rFonts w:ascii="Arial" w:cs="Arial" w:eastAsia="Arial" w:hAnsi="Arial"/>
          <w:sz w:val="18"/>
          <w:szCs w:val="18"/>
          <w:color w:val="auto"/>
        </w:rPr>
      </w:pPr>
    </w:p>
    <w:p>
      <w:pPr>
        <w:ind w:left="912" w:hanging="570"/>
        <w:spacing w:after="0"/>
        <w:tabs>
          <w:tab w:leader="none" w:pos="912"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44" w:lineRule="exact"/>
        <w:rPr>
          <w:rFonts w:ascii="Arial" w:cs="Arial" w:eastAsia="Arial" w:hAnsi="Arial"/>
          <w:sz w:val="18"/>
          <w:szCs w:val="18"/>
          <w:color w:val="auto"/>
        </w:rPr>
      </w:pPr>
    </w:p>
    <w:p>
      <w:pPr>
        <w:ind w:left="132" w:hanging="132"/>
        <w:spacing w:after="0"/>
        <w:tabs>
          <w:tab w:leader="none" w:pos="132"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Reflects ownership as of the date this filing was filed with the Securities and Exchange Commission.</w:t>
      </w:r>
    </w:p>
    <w:p>
      <w:pPr>
        <w:spacing w:after="0" w:line="2" w:lineRule="exact"/>
        <w:rPr>
          <w:sz w:val="20"/>
          <w:szCs w:val="20"/>
          <w:color w:val="auto"/>
        </w:rPr>
      </w:pPr>
    </w:p>
    <w:p>
      <w:pPr>
        <w:ind w:left="-8" w:right="20" w:firstLine="8"/>
        <w:spacing w:after="0" w:line="249" w:lineRule="auto"/>
        <w:tabs>
          <w:tab w:leader="none" w:pos="129"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2,186,349 shares of common stock, 157,360 shares of underlying options to purchase common stock, and 7,868 shares underlying warrants to purchase common stock held by Mr. Wurth.</w:t>
      </w:r>
    </w:p>
    <w:p>
      <w:pPr>
        <w:ind w:left="112" w:hanging="112"/>
        <w:spacing w:after="0" w:line="185" w:lineRule="auto"/>
        <w:tabs>
          <w:tab w:leader="none" w:pos="112"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Includes 1,108,883 shares of common stock and 62,000 shares of underlying warrants to purchase common stock held by Wurth Holdings, LLC.</w:t>
      </w:r>
    </w:p>
    <w:p>
      <w:pPr>
        <w:spacing w:after="0" w:line="2" w:lineRule="exact"/>
        <w:rPr>
          <w:sz w:val="20"/>
          <w:szCs w:val="20"/>
          <w:color w:val="auto"/>
        </w:rPr>
      </w:pPr>
    </w:p>
    <w:p>
      <w:pPr>
        <w:jc w:val="both"/>
        <w:ind w:left="-8" w:firstLine="8"/>
        <w:spacing w:after="0" w:line="254" w:lineRule="auto"/>
        <w:tabs>
          <w:tab w:leader="none" w:pos="1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12,694,265 shares of common stock, $0.0001 par value per share, of Bluejay Diagnostics, Inc. outstanding as of November 15, 2021, as reported on the Issuer’s prospectus filed with the Securities and Exchange Commission in connection with its initial public offering that closed on 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2" w:name="page3"/>
    <w:bookmarkEnd w:id="2"/>
    <w:p>
      <w:pPr>
        <w:ind w:left="1392"/>
        <w:spacing w:after="0"/>
        <w:tabs>
          <w:tab w:leader="none" w:pos="5452" w:val="left"/>
          <w:tab w:leader="none" w:pos="8332" w:val="left"/>
        </w:tabs>
        <w:rPr>
          <w:sz w:val="20"/>
          <w:szCs w:val="20"/>
          <w:color w:val="auto"/>
        </w:rPr>
      </w:pPr>
      <w:r>
        <w:rPr>
          <w:rFonts w:ascii="Arial" w:cs="Arial" w:eastAsia="Arial" w:hAnsi="Arial"/>
          <w:sz w:val="18"/>
          <w:szCs w:val="18"/>
          <w:color w:val="auto"/>
        </w:rPr>
        <w:t>CUSIP No. 095633103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32320" cy="6231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231890"/>
                    </a:xfrm>
                    <a:prstGeom prst="rect">
                      <a:avLst/>
                    </a:prstGeom>
                    <a:noFill/>
                  </pic:spPr>
                </pic:pic>
              </a:graphicData>
            </a:graphic>
          </wp:anchor>
        </w:drawing>
      </w:r>
    </w:p>
    <w:p>
      <w:pPr>
        <w:spacing w:after="0" w:line="286" w:lineRule="exact"/>
        <w:rPr>
          <w:sz w:val="20"/>
          <w:szCs w:val="20"/>
          <w:color w:val="auto"/>
        </w:rPr>
      </w:pPr>
    </w:p>
    <w:p>
      <w:pPr>
        <w:ind w:left="912" w:hanging="525"/>
        <w:spacing w:after="0"/>
        <w:tabs>
          <w:tab w:leader="none" w:pos="9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Wurth Holdings, LLC</w:t>
      </w:r>
    </w:p>
    <w:p>
      <w:pPr>
        <w:spacing w:after="0" w:line="144" w:lineRule="exact"/>
        <w:rPr>
          <w:sz w:val="20"/>
          <w:szCs w:val="20"/>
          <w:color w:val="auto"/>
        </w:rPr>
      </w:pPr>
    </w:p>
    <w:p>
      <w:pPr>
        <w:ind w:left="912" w:hanging="525"/>
        <w:spacing w:after="0"/>
        <w:tabs>
          <w:tab w:leader="none" w:pos="9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0752"/>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32"/>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35" w:lineRule="exact"/>
        <w:rPr>
          <w:sz w:val="20"/>
          <w:szCs w:val="20"/>
          <w:color w:val="auto"/>
        </w:rPr>
      </w:pPr>
    </w:p>
    <w:p>
      <w:pPr>
        <w:ind w:left="912" w:hanging="525"/>
        <w:spacing w:after="0"/>
        <w:tabs>
          <w:tab w:leader="none" w:pos="9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sz w:val="20"/>
          <w:szCs w:val="20"/>
          <w:color w:val="auto"/>
        </w:rPr>
      </w:pPr>
    </w:p>
    <w:p>
      <w:pPr>
        <w:ind w:left="912" w:hanging="525"/>
        <w:spacing w:after="0"/>
        <w:tabs>
          <w:tab w:leader="none" w:pos="9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30" w:lineRule="exact"/>
        <w:rPr>
          <w:sz w:val="20"/>
          <w:szCs w:val="20"/>
          <w:color w:val="auto"/>
        </w:rPr>
      </w:pPr>
    </w:p>
    <w:p>
      <w:pPr>
        <w:ind w:left="912" w:hanging="525"/>
        <w:spacing w:after="0"/>
        <w:tabs>
          <w:tab w:leader="none" w:pos="9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18" w:lineRule="exact"/>
        <w:rPr>
          <w:rFonts w:ascii="Arial" w:cs="Arial" w:eastAsia="Arial" w:hAnsi="Arial"/>
          <w:sz w:val="18"/>
          <w:szCs w:val="18"/>
          <w:color w:val="auto"/>
        </w:rPr>
      </w:pPr>
    </w:p>
    <w:p>
      <w:pPr>
        <w:ind w:left="91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2" w:lineRule="exact"/>
        <w:rPr>
          <w:sz w:val="20"/>
          <w:szCs w:val="20"/>
          <w:color w:val="auto"/>
        </w:rPr>
      </w:pPr>
    </w:p>
    <w:p>
      <w:pPr>
        <w:ind w:left="912" w:hanging="525"/>
        <w:spacing w:after="0"/>
        <w:tabs>
          <w:tab w:leader="none" w:pos="9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144" w:lineRule="exact"/>
        <w:rPr>
          <w:rFonts w:ascii="Arial" w:cs="Arial" w:eastAsia="Arial" w:hAnsi="Arial"/>
          <w:sz w:val="18"/>
          <w:szCs w:val="18"/>
          <w:color w:val="auto"/>
        </w:rPr>
      </w:pPr>
    </w:p>
    <w:p>
      <w:pPr>
        <w:ind w:left="2292"/>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Sole Voting Power</w:t>
      </w:r>
    </w:p>
    <w:p>
      <w:pPr>
        <w:spacing w:after="0" w:line="225" w:lineRule="exact"/>
        <w:rPr>
          <w:sz w:val="20"/>
          <w:szCs w:val="20"/>
          <w:color w:val="auto"/>
        </w:rPr>
      </w:pPr>
    </w:p>
    <w:tbl>
      <w:tblPr>
        <w:tblLayout w:type="fixed"/>
        <w:tblInd w:w="552"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1"/>
        </w:trPr>
        <w:tc>
          <w:tcPr>
            <w:tcW w:w="1360" w:type="dxa"/>
            <w:vAlign w:val="bottom"/>
            <w:vMerge w:val="restart"/>
          </w:tcPr>
          <w:p>
            <w:pPr>
              <w:jc w:val="center"/>
              <w:ind w:right="390"/>
              <w:spacing w:after="0"/>
              <w:rPr>
                <w:sz w:val="20"/>
                <w:szCs w:val="20"/>
                <w:color w:val="auto"/>
              </w:rPr>
            </w:pPr>
            <w:r>
              <w:rPr>
                <w:rFonts w:ascii="Arial" w:cs="Arial" w:eastAsia="Arial" w:hAnsi="Arial"/>
                <w:sz w:val="18"/>
                <w:szCs w:val="18"/>
                <w:color w:val="auto"/>
                <w:w w:val="95"/>
              </w:rPr>
              <w:t>Number of</w:t>
            </w:r>
          </w:p>
        </w:tc>
        <w:tc>
          <w:tcPr>
            <w:tcW w:w="720" w:type="dxa"/>
            <w:vAlign w:val="bottom"/>
            <w:tcBorders>
              <w:bottom w:val="single" w:sz="8" w:color="auto"/>
            </w:tcBorders>
          </w:tcPr>
          <w:p>
            <w:pPr>
              <w:spacing w:after="0"/>
              <w:rPr>
                <w:sz w:val="5"/>
                <w:szCs w:val="5"/>
                <w:color w:val="auto"/>
              </w:rPr>
            </w:pPr>
          </w:p>
        </w:tc>
        <w:tc>
          <w:tcPr>
            <w:tcW w:w="8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360" w:type="dxa"/>
            <w:vAlign w:val="bottom"/>
            <w:vMerge w:val="continue"/>
          </w:tcPr>
          <w:p>
            <w:pPr>
              <w:spacing w:after="0"/>
              <w:rPr>
                <w:sz w:val="12"/>
                <w:szCs w:val="12"/>
                <w:color w:val="auto"/>
              </w:rPr>
            </w:pPr>
          </w:p>
        </w:tc>
        <w:tc>
          <w:tcPr>
            <w:tcW w:w="720" w:type="dxa"/>
            <w:vAlign w:val="bottom"/>
            <w:vMerge w:val="restart"/>
          </w:tcPr>
          <w:p>
            <w:pPr>
              <w:jc w:val="center"/>
              <w:ind w:left="30"/>
              <w:spacing w:after="0"/>
              <w:rPr>
                <w:sz w:val="20"/>
                <w:szCs w:val="20"/>
                <w:color w:val="auto"/>
              </w:rPr>
            </w:pPr>
            <w:r>
              <w:rPr>
                <w:rFonts w:ascii="Arial" w:cs="Arial" w:eastAsia="Arial" w:hAnsi="Arial"/>
                <w:sz w:val="18"/>
                <w:szCs w:val="18"/>
                <w:color w:val="auto"/>
                <w:w w:val="79"/>
              </w:rPr>
              <w:t>8</w:t>
            </w:r>
          </w:p>
        </w:tc>
        <w:tc>
          <w:tcPr>
            <w:tcW w:w="860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ind w:right="390"/>
              <w:spacing w:after="0"/>
              <w:rPr>
                <w:sz w:val="20"/>
                <w:szCs w:val="20"/>
                <w:color w:val="auto"/>
              </w:rPr>
            </w:pPr>
            <w:r>
              <w:rPr>
                <w:rFonts w:ascii="Arial" w:cs="Arial" w:eastAsia="Arial" w:hAnsi="Arial"/>
                <w:sz w:val="18"/>
                <w:szCs w:val="18"/>
                <w:color w:val="auto"/>
                <w:w w:val="84"/>
              </w:rPr>
              <w:t>Shares</w:t>
            </w:r>
          </w:p>
        </w:tc>
        <w:tc>
          <w:tcPr>
            <w:tcW w:w="720" w:type="dxa"/>
            <w:vAlign w:val="bottom"/>
            <w:vMerge w:val="continue"/>
          </w:tcPr>
          <w:p>
            <w:pPr>
              <w:spacing w:after="0"/>
              <w:rPr>
                <w:sz w:val="10"/>
                <w:szCs w:val="10"/>
                <w:color w:val="auto"/>
              </w:rPr>
            </w:pPr>
          </w:p>
        </w:tc>
        <w:tc>
          <w:tcPr>
            <w:tcW w:w="8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390"/>
              <w:spacing w:after="0"/>
              <w:rPr>
                <w:sz w:val="20"/>
                <w:szCs w:val="20"/>
                <w:color w:val="auto"/>
              </w:rPr>
            </w:pPr>
            <w:r>
              <w:rPr>
                <w:rFonts w:ascii="Arial" w:cs="Arial" w:eastAsia="Arial" w:hAnsi="Arial"/>
                <w:sz w:val="18"/>
                <w:szCs w:val="18"/>
                <w:color w:val="auto"/>
                <w:w w:val="96"/>
              </w:rPr>
              <w:t>Beneficially</w:t>
            </w:r>
          </w:p>
        </w:tc>
        <w:tc>
          <w:tcPr>
            <w:tcW w:w="720" w:type="dxa"/>
            <w:vAlign w:val="bottom"/>
          </w:tcPr>
          <w:p>
            <w:pPr>
              <w:spacing w:after="0"/>
              <w:rPr>
                <w:sz w:val="18"/>
                <w:szCs w:val="18"/>
                <w:color w:val="auto"/>
              </w:rPr>
            </w:pPr>
          </w:p>
        </w:tc>
        <w:tc>
          <w:tcPr>
            <w:tcW w:w="8600" w:type="dxa"/>
            <w:vAlign w:val="bottom"/>
            <w:vMerge w:val="restart"/>
          </w:tcPr>
          <w:p>
            <w:pPr>
              <w:ind w:left="180"/>
              <w:spacing w:after="0"/>
              <w:rPr>
                <w:sz w:val="20"/>
                <w:szCs w:val="20"/>
                <w:color w:val="auto"/>
              </w:rPr>
            </w:pPr>
            <w:r>
              <w:rPr>
                <w:rFonts w:ascii="Arial" w:cs="Arial" w:eastAsia="Arial" w:hAnsi="Arial"/>
                <w:sz w:val="18"/>
                <w:szCs w:val="18"/>
                <w:color w:val="auto"/>
              </w:rPr>
              <w:t>1,170,883</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176"/>
        </w:trPr>
        <w:tc>
          <w:tcPr>
            <w:tcW w:w="13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Owned by</w:t>
            </w:r>
          </w:p>
        </w:tc>
        <w:tc>
          <w:tcPr>
            <w:tcW w:w="720" w:type="dxa"/>
            <w:vAlign w:val="bottom"/>
          </w:tcPr>
          <w:p>
            <w:pPr>
              <w:spacing w:after="0"/>
              <w:rPr>
                <w:sz w:val="15"/>
                <w:szCs w:val="15"/>
                <w:color w:val="auto"/>
              </w:rPr>
            </w:pPr>
          </w:p>
        </w:tc>
        <w:tc>
          <w:tcPr>
            <w:tcW w:w="8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360" w:type="dxa"/>
            <w:vAlign w:val="bottom"/>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360" w:type="dxa"/>
            <w:vAlign w:val="bottom"/>
          </w:tcPr>
          <w:p>
            <w:pPr>
              <w:jc w:val="center"/>
              <w:ind w:right="390"/>
              <w:spacing w:after="0" w:line="189" w:lineRule="exact"/>
              <w:rPr>
                <w:sz w:val="20"/>
                <w:szCs w:val="20"/>
                <w:color w:val="auto"/>
              </w:rPr>
            </w:pPr>
            <w:r>
              <w:rPr>
                <w:rFonts w:ascii="Arial" w:cs="Arial" w:eastAsia="Arial" w:hAnsi="Arial"/>
                <w:sz w:val="18"/>
                <w:szCs w:val="18"/>
                <w:color w:val="auto"/>
                <w:w w:val="87"/>
              </w:rPr>
              <w:t>Each</w:t>
            </w:r>
          </w:p>
        </w:tc>
        <w:tc>
          <w:tcPr>
            <w:tcW w:w="720" w:type="dxa"/>
            <w:vAlign w:val="bottom"/>
            <w:vMerge w:val="restart"/>
          </w:tcPr>
          <w:p>
            <w:pPr>
              <w:jc w:val="center"/>
              <w:ind w:left="30"/>
              <w:spacing w:after="0"/>
              <w:rPr>
                <w:sz w:val="20"/>
                <w:szCs w:val="20"/>
                <w:color w:val="auto"/>
              </w:rPr>
            </w:pPr>
            <w:r>
              <w:rPr>
                <w:rFonts w:ascii="Arial" w:cs="Arial" w:eastAsia="Arial" w:hAnsi="Arial"/>
                <w:sz w:val="18"/>
                <w:szCs w:val="18"/>
                <w:color w:val="auto"/>
                <w:w w:val="79"/>
              </w:rPr>
              <w:t>9</w:t>
            </w:r>
          </w:p>
        </w:tc>
        <w:tc>
          <w:tcPr>
            <w:tcW w:w="86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360" w:type="dxa"/>
            <w:vAlign w:val="bottom"/>
            <w:vMerge w:val="restart"/>
          </w:tcPr>
          <w:p>
            <w:pPr>
              <w:jc w:val="center"/>
              <w:ind w:right="390"/>
              <w:spacing w:after="0"/>
              <w:rPr>
                <w:sz w:val="20"/>
                <w:szCs w:val="20"/>
                <w:color w:val="auto"/>
              </w:rPr>
            </w:pPr>
            <w:r>
              <w:rPr>
                <w:rFonts w:ascii="Arial" w:cs="Arial" w:eastAsia="Arial" w:hAnsi="Arial"/>
                <w:sz w:val="18"/>
                <w:szCs w:val="18"/>
                <w:color w:val="auto"/>
                <w:w w:val="92"/>
              </w:rPr>
              <w:t>Reporting</w:t>
            </w:r>
          </w:p>
        </w:tc>
        <w:tc>
          <w:tcPr>
            <w:tcW w:w="720" w:type="dxa"/>
            <w:vAlign w:val="bottom"/>
            <w:vMerge w:val="continue"/>
          </w:tcPr>
          <w:p>
            <w:pPr>
              <w:spacing w:after="0"/>
              <w:rPr>
                <w:sz w:val="7"/>
                <w:szCs w:val="7"/>
                <w:color w:val="auto"/>
              </w:rPr>
            </w:pPr>
          </w:p>
        </w:tc>
        <w:tc>
          <w:tcPr>
            <w:tcW w:w="8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right="390"/>
              <w:spacing w:after="0"/>
              <w:rPr>
                <w:sz w:val="20"/>
                <w:szCs w:val="20"/>
                <w:color w:val="auto"/>
              </w:rPr>
            </w:pPr>
            <w:r>
              <w:rPr>
                <w:rFonts w:ascii="Arial" w:cs="Arial" w:eastAsia="Arial" w:hAnsi="Arial"/>
                <w:sz w:val="18"/>
                <w:szCs w:val="18"/>
                <w:color w:val="auto"/>
                <w:w w:val="84"/>
              </w:rPr>
              <w:t>Person</w:t>
            </w:r>
          </w:p>
        </w:tc>
        <w:tc>
          <w:tcPr>
            <w:tcW w:w="720" w:type="dxa"/>
            <w:vAlign w:val="bottom"/>
          </w:tcPr>
          <w:p>
            <w:pPr>
              <w:spacing w:after="0"/>
              <w:rPr>
                <w:sz w:val="18"/>
                <w:szCs w:val="18"/>
                <w:color w:val="auto"/>
              </w:rPr>
            </w:pPr>
          </w:p>
        </w:tc>
        <w:tc>
          <w:tcPr>
            <w:tcW w:w="86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2"/>
        </w:trPr>
        <w:tc>
          <w:tcPr>
            <w:tcW w:w="1360" w:type="dxa"/>
            <w:vAlign w:val="bottom"/>
            <w:vMerge w:val="restart"/>
          </w:tcPr>
          <w:p>
            <w:pPr>
              <w:jc w:val="center"/>
              <w:ind w:right="390"/>
              <w:spacing w:after="0"/>
              <w:rPr>
                <w:sz w:val="20"/>
                <w:szCs w:val="20"/>
                <w:color w:val="auto"/>
              </w:rPr>
            </w:pPr>
            <w:r>
              <w:rPr>
                <w:rFonts w:ascii="Arial" w:cs="Arial" w:eastAsia="Arial" w:hAnsi="Arial"/>
                <w:sz w:val="18"/>
                <w:szCs w:val="18"/>
                <w:color w:val="auto"/>
                <w:w w:val="99"/>
              </w:rPr>
              <w:t>With</w:t>
            </w:r>
          </w:p>
        </w:tc>
        <w:tc>
          <w:tcPr>
            <w:tcW w:w="720" w:type="dxa"/>
            <w:vAlign w:val="bottom"/>
          </w:tcPr>
          <w:p>
            <w:pPr>
              <w:spacing w:after="0"/>
              <w:rPr>
                <w:sz w:val="7"/>
                <w:szCs w:val="7"/>
                <w:color w:val="auto"/>
              </w:rPr>
            </w:pPr>
          </w:p>
        </w:tc>
        <w:tc>
          <w:tcPr>
            <w:tcW w:w="8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360" w:type="dxa"/>
            <w:vAlign w:val="bottom"/>
            <w:vMerge w:val="continue"/>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tcPr>
          <w:p>
            <w:pPr>
              <w:spacing w:after="0"/>
              <w:rPr>
                <w:sz w:val="5"/>
                <w:szCs w:val="5"/>
                <w:color w:val="auto"/>
              </w:rPr>
            </w:pPr>
          </w:p>
        </w:tc>
        <w:tc>
          <w:tcPr>
            <w:tcW w:w="720" w:type="dxa"/>
            <w:vAlign w:val="bottom"/>
            <w:vMerge w:val="restart"/>
          </w:tcPr>
          <w:p>
            <w:pPr>
              <w:jc w:val="center"/>
              <w:ind w:left="50"/>
              <w:spacing w:after="0"/>
              <w:rPr>
                <w:sz w:val="20"/>
                <w:szCs w:val="20"/>
                <w:color w:val="auto"/>
              </w:rPr>
            </w:pPr>
            <w:r>
              <w:rPr>
                <w:rFonts w:ascii="Arial" w:cs="Arial" w:eastAsia="Arial" w:hAnsi="Arial"/>
                <w:sz w:val="18"/>
                <w:szCs w:val="18"/>
                <w:color w:val="auto"/>
                <w:w w:val="89"/>
              </w:rPr>
              <w:t>10</w:t>
            </w:r>
          </w:p>
        </w:tc>
        <w:tc>
          <w:tcPr>
            <w:tcW w:w="860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812"/>
        <w:spacing w:after="0"/>
        <w:rPr>
          <w:sz w:val="20"/>
          <w:szCs w:val="20"/>
          <w:color w:val="auto"/>
        </w:rPr>
      </w:pPr>
      <w:r>
        <w:rPr>
          <w:rFonts w:ascii="Arial" w:cs="Arial" w:eastAsia="Arial" w:hAnsi="Arial"/>
          <w:sz w:val="18"/>
          <w:szCs w:val="18"/>
          <w:color w:val="auto"/>
        </w:rPr>
        <w:t>1,170,883</w:t>
      </w:r>
      <w:r>
        <w:rPr>
          <w:rFonts w:ascii="Arial" w:cs="Arial" w:eastAsia="Arial" w:hAnsi="Arial"/>
          <w:sz w:val="29"/>
          <w:szCs w:val="29"/>
          <w:color w:val="auto"/>
          <w:vertAlign w:val="superscript"/>
        </w:rPr>
        <w:t>+‡</w:t>
      </w:r>
    </w:p>
    <w:p>
      <w:pPr>
        <w:spacing w:after="0" w:line="57" w:lineRule="exact"/>
        <w:rPr>
          <w:sz w:val="20"/>
          <w:szCs w:val="20"/>
          <w:color w:val="auto"/>
        </w:rPr>
      </w:pPr>
    </w:p>
    <w:p>
      <w:pPr>
        <w:ind w:left="912" w:right="5520" w:hanging="567"/>
        <w:spacing w:after="0" w:line="365" w:lineRule="auto"/>
        <w:tabs>
          <w:tab w:leader="none" w:pos="9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1,170,883</w:t>
      </w:r>
      <w:r>
        <w:rPr>
          <w:rFonts w:ascii="Arial" w:cs="Arial" w:eastAsia="Arial" w:hAnsi="Arial"/>
          <w:sz w:val="29"/>
          <w:szCs w:val="29"/>
          <w:color w:val="auto"/>
          <w:vertAlign w:val="superscript"/>
        </w:rPr>
        <w:t>+‡</w:t>
      </w:r>
    </w:p>
    <w:p>
      <w:pPr>
        <w:spacing w:after="0" w:line="1" w:lineRule="exact"/>
        <w:rPr>
          <w:rFonts w:ascii="Arial" w:cs="Arial" w:eastAsia="Arial" w:hAnsi="Arial"/>
          <w:sz w:val="18"/>
          <w:szCs w:val="18"/>
          <w:color w:val="auto"/>
        </w:rPr>
      </w:pPr>
    </w:p>
    <w:p>
      <w:pPr>
        <w:ind w:left="912" w:hanging="570"/>
        <w:spacing w:after="0"/>
        <w:tabs>
          <w:tab w:leader="none" w:pos="9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16" w:lineRule="exact"/>
        <w:rPr>
          <w:rFonts w:ascii="Arial" w:cs="Arial" w:eastAsia="Arial" w:hAnsi="Arial"/>
          <w:sz w:val="18"/>
          <w:szCs w:val="18"/>
          <w:color w:val="auto"/>
        </w:rPr>
      </w:pPr>
    </w:p>
    <w:p>
      <w:pPr>
        <w:ind w:left="912"/>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1" w:lineRule="exact"/>
        <w:rPr>
          <w:rFonts w:ascii="Arial" w:cs="Arial" w:eastAsia="Arial" w:hAnsi="Arial"/>
          <w:sz w:val="18"/>
          <w:szCs w:val="18"/>
          <w:color w:val="auto"/>
        </w:rPr>
      </w:pPr>
    </w:p>
    <w:p>
      <w:pPr>
        <w:ind w:left="912" w:hanging="570"/>
        <w:spacing w:after="0"/>
        <w:tabs>
          <w:tab w:leader="none" w:pos="9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5"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9.23%*</w:t>
      </w:r>
    </w:p>
    <w:p>
      <w:pPr>
        <w:spacing w:after="0" w:line="144" w:lineRule="exact"/>
        <w:rPr>
          <w:rFonts w:ascii="Arial" w:cs="Arial" w:eastAsia="Arial" w:hAnsi="Arial"/>
          <w:sz w:val="18"/>
          <w:szCs w:val="18"/>
          <w:color w:val="auto"/>
        </w:rPr>
      </w:pPr>
    </w:p>
    <w:p>
      <w:pPr>
        <w:ind w:left="912" w:hanging="570"/>
        <w:spacing w:after="0"/>
        <w:tabs>
          <w:tab w:leader="none" w:pos="91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7" w:lineRule="exact"/>
        <w:rPr>
          <w:rFonts w:ascii="Arial" w:cs="Arial" w:eastAsia="Arial" w:hAnsi="Arial"/>
          <w:sz w:val="18"/>
          <w:szCs w:val="18"/>
          <w:color w:val="auto"/>
        </w:rPr>
      </w:pPr>
    </w:p>
    <w:p>
      <w:pPr>
        <w:ind w:left="132" w:hanging="132"/>
        <w:spacing w:after="0"/>
        <w:tabs>
          <w:tab w:leader="none" w:pos="132"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Reflects ownership as of the date this filing was filed with the Securities and Exchange Commission.</w:t>
      </w:r>
    </w:p>
    <w:p>
      <w:pPr>
        <w:ind w:left="112" w:hanging="112"/>
        <w:spacing w:after="0" w:line="184" w:lineRule="auto"/>
        <w:tabs>
          <w:tab w:leader="none" w:pos="112" w:val="left"/>
        </w:tabs>
        <w:numPr>
          <w:ilvl w:val="0"/>
          <w:numId w:val="18"/>
        </w:numPr>
        <w:rPr>
          <w:rFonts w:ascii="Arial" w:cs="Arial" w:eastAsia="Arial" w:hAnsi="Arial"/>
          <w:sz w:val="29"/>
          <w:szCs w:val="29"/>
          <w:color w:val="auto"/>
          <w:vertAlign w:val="superscript"/>
        </w:rPr>
      </w:pPr>
      <w:r>
        <w:rPr>
          <w:rFonts w:ascii="Arial" w:cs="Arial" w:eastAsia="Arial" w:hAnsi="Arial"/>
          <w:sz w:val="17"/>
          <w:szCs w:val="17"/>
          <w:color w:val="auto"/>
        </w:rPr>
        <w:t>Includes 1,108,883 shares of common stock and 62,000 shares of underlying warrants to purchase common stock held by Wurth Holdings, LLC.</w:t>
      </w:r>
    </w:p>
    <w:p>
      <w:pPr>
        <w:spacing w:after="0" w:line="2" w:lineRule="exact"/>
        <w:rPr>
          <w:sz w:val="20"/>
          <w:szCs w:val="20"/>
          <w:color w:val="auto"/>
        </w:rPr>
      </w:pPr>
    </w:p>
    <w:p>
      <w:pPr>
        <w:jc w:val="both"/>
        <w:ind w:left="-8" w:firstLine="8"/>
        <w:spacing w:after="0" w:line="254" w:lineRule="auto"/>
        <w:tabs>
          <w:tab w:leader="none" w:pos="1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12,694,265 shares of common stock, $0.0001 par value per share, of Bluejay Diagnostics, Inc. outstanding as of November 15, 2021, as reported on the Issuer’s prospectus filed with the Securities and Exchange Commission in connection with its initial public offering that closed on 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3" w:name="page4"/>
    <w:bookmarkEnd w:id="3"/>
    <w:p>
      <w:pPr>
        <w:ind w:left="1400"/>
        <w:spacing w:after="0"/>
        <w:tabs>
          <w:tab w:leader="none" w:pos="5460" w:val="left"/>
          <w:tab w:leader="none" w:pos="8340" w:val="left"/>
        </w:tabs>
        <w:rPr>
          <w:sz w:val="20"/>
          <w:szCs w:val="20"/>
          <w:color w:val="auto"/>
        </w:rPr>
      </w:pPr>
      <w:r>
        <w:rPr>
          <w:rFonts w:ascii="Arial" w:cs="Arial" w:eastAsia="Arial" w:hAnsi="Arial"/>
          <w:sz w:val="18"/>
          <w:szCs w:val="18"/>
          <w:color w:val="auto"/>
        </w:rPr>
        <w:t>CUSIP No. 095633103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4 of 8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Schedule 13D relates to the common stock, par value $0.0001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Bluejay Diagnostics, Inc., a Delaware corporation (“</w:t>
      </w:r>
      <w:r>
        <w:rPr>
          <w:rFonts w:ascii="Arial" w:cs="Arial" w:eastAsia="Arial" w:hAnsi="Arial"/>
          <w:sz w:val="18"/>
          <w:szCs w:val="18"/>
          <w:u w:val="single" w:color="auto"/>
          <w:color w:val="auto"/>
        </w:rPr>
        <w:t>Issuer</w:t>
      </w:r>
      <w:r>
        <w:rPr>
          <w:rFonts w:ascii="Arial" w:cs="Arial" w:eastAsia="Arial" w:hAnsi="Arial"/>
          <w:sz w:val="18"/>
          <w:szCs w:val="18"/>
          <w:color w:val="auto"/>
        </w:rPr>
        <w:t>”), whose principal executive offices are located at 360 Massachusetts Avenue, Suite 203, Acton, MA 01720. Information given in response to each item shall be deemed incorporated by reference in all other items as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jc w:val="both"/>
        <w:ind w:left="660" w:right="20" w:hanging="328"/>
        <w:spacing w:after="0" w:line="31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statement is being filed jointly by Douglas C. Wurth (“</w:t>
      </w:r>
      <w:r>
        <w:rPr>
          <w:rFonts w:ascii="Arial" w:cs="Arial" w:eastAsia="Arial" w:hAnsi="Arial"/>
          <w:sz w:val="16"/>
          <w:szCs w:val="16"/>
          <w:u w:val="single" w:color="auto"/>
          <w:color w:val="auto"/>
        </w:rPr>
        <w:t>Mr. Wurth</w:t>
      </w:r>
      <w:r>
        <w:rPr>
          <w:rFonts w:ascii="Arial" w:cs="Arial" w:eastAsia="Arial" w:hAnsi="Arial"/>
          <w:sz w:val="16"/>
          <w:szCs w:val="16"/>
          <w:color w:val="auto"/>
        </w:rPr>
        <w:t>”) and Wurth Holdings, LLC, a Delaware limited liability company (“</w:t>
      </w:r>
      <w:r>
        <w:rPr>
          <w:rFonts w:ascii="Arial" w:cs="Arial" w:eastAsia="Arial" w:hAnsi="Arial"/>
          <w:sz w:val="16"/>
          <w:szCs w:val="16"/>
          <w:u w:val="single" w:color="auto"/>
          <w:color w:val="auto"/>
        </w:rPr>
        <w:t>Holdings</w:t>
      </w:r>
      <w:r>
        <w:rPr>
          <w:rFonts w:ascii="Arial" w:cs="Arial" w:eastAsia="Arial" w:hAnsi="Arial"/>
          <w:sz w:val="16"/>
          <w:szCs w:val="16"/>
          <w:color w:val="auto"/>
        </w:rPr>
        <w:t>” and together with Mr. Wurth, the “</w:t>
      </w:r>
      <w:r>
        <w:rPr>
          <w:rFonts w:ascii="Arial" w:cs="Arial" w:eastAsia="Arial" w:hAnsi="Arial"/>
          <w:sz w:val="16"/>
          <w:szCs w:val="16"/>
          <w:u w:val="single" w:color="auto"/>
          <w:color w:val="auto"/>
        </w:rPr>
        <w:t>Reporting Persons</w:t>
      </w:r>
      <w:r>
        <w:rPr>
          <w:rFonts w:ascii="Arial" w:cs="Arial" w:eastAsia="Arial" w:hAnsi="Arial"/>
          <w:sz w:val="16"/>
          <w:szCs w:val="16"/>
          <w:color w:val="auto"/>
        </w:rPr>
        <w:t>”). Each of the Reporting Persons is party to that certain Joint Filing Agreement, as further described in Item 6 and attached hereto as Exhibit 1. Accordingly, the Reporting Persons are hereby filing this joint Schedule 13D.</w:t>
      </w:r>
    </w:p>
    <w:p>
      <w:pPr>
        <w:spacing w:after="0" w:line="1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business address of each of the Reporting Persons is c/o Bluejay Diagnostics, Inc. at 360 Massachusetts Avenue, Suite 203, Acton, MA 01720.</w:t>
      </w:r>
    </w:p>
    <w:p>
      <w:pPr>
        <w:spacing w:after="0" w:line="170"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primary purpose of Holdings is to hold investments of its members. Mr. Wurth is a member of Holdings and is the sole managing member of Holdings. Holdings has four other members, each of whom is a member of Mr. Wurth’s family.</w:t>
      </w:r>
    </w:p>
    <w:p>
      <w:pPr>
        <w:spacing w:after="0" w:line="170"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Mr. Wurth is a member of the Issuer’s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and has served as Chairman of the Board of since 2017. Since 2016, Mr. Wurth has been a private investor. Mr. Wurth has served as Chief Executive Officer and a Director of Good Works II Acquisition Corp. since February 2021, and Co- Chairman of Good Works Acquisition Corp. since October 2020.</w:t>
      </w:r>
    </w:p>
    <w:p>
      <w:pPr>
        <w:spacing w:after="0" w:line="184"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or Holdings’ members have been convicted in a criminal proceeding (excluding traffic violations or similar misdemeanors).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or Holdings’ members have been a party to a civil proceeding of a judicial or administrative body of competent jurisdiction resulting in a judgment, decree or final order finding any violation with respect to federal or state securities laws or enjoining future violations of, or prohibiting or mandating activities subject to, such laws.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Mr. Wurth and the other members of Holdings are citizens of the United States of America. Holdings is a Delaware limited liability company.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15, 2021, the Issuer closed its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of 2,160,000 Units, with each unit consisting of: (a) one share of the Issuer’s common stock, $0.0001 par value per share (the “Common Stock”), (b) one Class A warrant (the “</w:t>
      </w:r>
      <w:r>
        <w:rPr>
          <w:rFonts w:ascii="Arial" w:cs="Arial" w:eastAsia="Arial" w:hAnsi="Arial"/>
          <w:sz w:val="18"/>
          <w:szCs w:val="18"/>
          <w:u w:val="single" w:color="auto"/>
          <w:color w:val="auto"/>
        </w:rPr>
        <w:t>Class A Warrants</w:t>
      </w:r>
      <w:r>
        <w:rPr>
          <w:rFonts w:ascii="Arial" w:cs="Arial" w:eastAsia="Arial" w:hAnsi="Arial"/>
          <w:sz w:val="18"/>
          <w:szCs w:val="18"/>
          <w:color w:val="auto"/>
        </w:rPr>
        <w:t>”) to purchase one share of Common Stock at an exercise price equal to $7.00 per share, exercisable until the fifth anniversary of the issuance date, and (c) one Class B warrant (the “</w:t>
      </w:r>
      <w:r>
        <w:rPr>
          <w:rFonts w:ascii="Arial" w:cs="Arial" w:eastAsia="Arial" w:hAnsi="Arial"/>
          <w:sz w:val="18"/>
          <w:szCs w:val="18"/>
          <w:u w:val="single" w:color="auto"/>
          <w:color w:val="auto"/>
        </w:rPr>
        <w:t>Class B Warrants</w:t>
      </w:r>
      <w:r>
        <w:rPr>
          <w:rFonts w:ascii="Arial" w:cs="Arial" w:eastAsia="Arial" w:hAnsi="Arial"/>
          <w:sz w:val="18"/>
          <w:szCs w:val="18"/>
          <w:color w:val="auto"/>
        </w:rPr>
        <w:t>,” and together with the Class A Warrants, the “</w:t>
      </w:r>
      <w:r>
        <w:rPr>
          <w:rFonts w:ascii="Arial" w:cs="Arial" w:eastAsia="Arial" w:hAnsi="Arial"/>
          <w:sz w:val="18"/>
          <w:szCs w:val="18"/>
          <w:u w:val="single" w:color="auto"/>
          <w:color w:val="auto"/>
        </w:rPr>
        <w:t>Warrants</w:t>
      </w:r>
      <w:r>
        <w:rPr>
          <w:rFonts w:ascii="Arial" w:cs="Arial" w:eastAsia="Arial" w:hAnsi="Arial"/>
          <w:sz w:val="18"/>
          <w:szCs w:val="18"/>
          <w:color w:val="auto"/>
        </w:rPr>
        <w:t>”) to purchase one share of Common Stock at an exercise price equal to $10.00 per share, exercisable until the fifth anniversary of the issuance date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left="1400"/>
        <w:spacing w:after="0"/>
        <w:tabs>
          <w:tab w:leader="none" w:pos="5460" w:val="left"/>
          <w:tab w:leader="none" w:pos="8340" w:val="left"/>
        </w:tabs>
        <w:rPr>
          <w:sz w:val="20"/>
          <w:szCs w:val="20"/>
          <w:color w:val="auto"/>
        </w:rPr>
      </w:pPr>
      <w:r>
        <w:rPr>
          <w:rFonts w:ascii="Arial" w:cs="Arial" w:eastAsia="Arial" w:hAnsi="Arial"/>
          <w:sz w:val="18"/>
          <w:szCs w:val="18"/>
          <w:color w:val="auto"/>
        </w:rPr>
        <w:t>CUSIP No. 095633103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5 of 8 Pages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the IPO, in the aggregate, Mr. Wurth directly or indirectly beneficially owned 3,522,460 shares of Common Stock, which consisted of:</w:t>
      </w:r>
    </w:p>
    <w:p>
      <w:pPr>
        <w:spacing w:after="0" w:line="23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2,186,349 shares of common stock held directly by Mr. Wurth;</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118,020 shares underlying options to purchase common stock of Issuer with an exercise price of $0.95 per share held directly by Mr. Wurth;</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39,340 shares underlying options to purchase common stock of Issuer with an exercise price of $0.95 per share held directly by Mr. Wurth;</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1,108,883 shares of common stock held by Holdings;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62,000 shares underlying warrants to purchase common stock of Issuer with an exercise price of $2.3 per share held by Holdings; and</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7,868 shares underlying warrants to purchase common stock of Issuer with an exercise price of $0.95 per share held by Mr. Wurth.</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Rule 13d-3 under the Securities Exchange Act of 1934, as amended, Mr. Wurth may be deemed to beneficially own the securities held by Holdings.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Reporting Persons acquired the securities reported herein for investment in the ordinary course of business because of their belief that the Issuer represents an attractive investment based on the Issuer’s business prospects and strategy. The Reporting Persons reserve the right to acquire, or cause to be acquired, additional securities of the Issuer, to dispose of, or cause to be disposed of, such securities at any time or to formulate other purposes, plans or proposals regarding the Issuer or any of its securities, to the extent deemed advisable in light of general investment and trading policies of the Reporting Persons, market conditions or other factors.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set forth in this Schedule 13D, the Reporting Persons do not have any plan or proposal that would relate to, or result in, any of the following matters:</w:t>
      </w:r>
    </w:p>
    <w:p>
      <w:pPr>
        <w:spacing w:after="0" w:line="170"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extraordinary corporate transaction, such as a merger, reorganization or liquidation, involving the Issuer or any of its subsidiaries;</w:t>
      </w:r>
    </w:p>
    <w:p>
      <w:pPr>
        <w:spacing w:after="0" w:line="236" w:lineRule="exact"/>
        <w:rPr>
          <w:rFonts w:ascii="Arial" w:cs="Arial" w:eastAsia="Arial" w:hAnsi="Arial"/>
          <w:sz w:val="17"/>
          <w:szCs w:val="17"/>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of any of its subsidiaries;</w:t>
      </w:r>
    </w:p>
    <w:p>
      <w:pPr>
        <w:spacing w:after="0" w:line="225" w:lineRule="exact"/>
        <w:rPr>
          <w:rFonts w:ascii="Arial" w:cs="Arial" w:eastAsia="Arial" w:hAnsi="Arial"/>
          <w:sz w:val="18"/>
          <w:szCs w:val="18"/>
          <w:color w:val="auto"/>
        </w:rPr>
      </w:pPr>
    </w:p>
    <w:p>
      <w:pPr>
        <w:ind w:firstLine="656"/>
        <w:spacing w:after="0" w:line="277" w:lineRule="auto"/>
        <w:tabs>
          <w:tab w:leader="none" w:pos="91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w:t>
      </w:r>
    </w:p>
    <w:p>
      <w:pPr>
        <w:spacing w:after="0" w:line="225" w:lineRule="exact"/>
        <w:rPr>
          <w:rFonts w:ascii="Arial" w:cs="Arial" w:eastAsia="Arial" w:hAnsi="Arial"/>
          <w:sz w:val="18"/>
          <w:szCs w:val="18"/>
          <w:color w:val="auto"/>
        </w:rPr>
      </w:pPr>
    </w:p>
    <w:p>
      <w:pPr>
        <w:ind w:right="20" w:firstLine="656"/>
        <w:spacing w:after="0" w:line="277" w:lineRule="auto"/>
        <w:tabs>
          <w:tab w:leader="none" w:pos="9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170"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1400"/>
        <w:spacing w:after="0"/>
        <w:tabs>
          <w:tab w:leader="none" w:pos="5460" w:val="left"/>
          <w:tab w:leader="none" w:pos="8340" w:val="left"/>
        </w:tabs>
        <w:rPr>
          <w:sz w:val="20"/>
          <w:szCs w:val="20"/>
          <w:color w:val="auto"/>
        </w:rPr>
      </w:pPr>
      <w:r>
        <w:rPr>
          <w:rFonts w:ascii="Arial" w:cs="Arial" w:eastAsia="Arial" w:hAnsi="Arial"/>
          <w:sz w:val="18"/>
          <w:szCs w:val="18"/>
          <w:color w:val="auto"/>
        </w:rPr>
        <w:t>CUSIP No. 095633103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6 of 8 Pages</w:t>
      </w:r>
    </w:p>
    <w:p>
      <w:pPr>
        <w:spacing w:after="0" w:line="225" w:lineRule="exact"/>
        <w:rPr>
          <w:sz w:val="20"/>
          <w:szCs w:val="20"/>
          <w:color w:val="auto"/>
        </w:rPr>
      </w:pPr>
    </w:p>
    <w:p>
      <w:pPr>
        <w:ind w:firstLine="656"/>
        <w:spacing w:after="0" w:line="277"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Securities Exchange Act of 1934; or</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of the Reporting Persons reserves the right to propose or participate in future transactions which may result in one or more of the above listed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Act. The Reporting Persons also retain the right to change their investment intent at any time, to acquire additional shares of Common Stock or other securities of the Issuer from time to time, or to sell or otherwise dispose of all or part of the Common Stock beneficially owned by them (or any shares of Common Stock into which such securities are converted) in any manner permitted by law. The Reporting Persons may engage from time to time in ordinary course transactions with financial institutions with respect to the securities described 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and (b)</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information contained in rows 7, 8, 9, 10, 11 and 13 of the cover pages for each Reporting Person and the information set forth in Item 2, Item 3 and Item 6 of this Schedule 13D is hereby incorporated by reference in its entirety into this Item 5.</w:t>
      </w:r>
    </w:p>
    <w:p>
      <w:pPr>
        <w:spacing w:after="0" w:line="170"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aggregate percentage of Common Stock reported owned by the Reporting Persons is 27.26% and is based upon 12,694,265 shares of Common Stock outstanding as of November 15, 2021, as reported on the Issuer’s prospectus filed with the Securities and Exchange Commission in connection with its initial public offering that closed on November 15, 2021.</w:t>
      </w:r>
    </w:p>
    <w:p>
      <w:pPr>
        <w:spacing w:after="0" w:line="184" w:lineRule="exact"/>
        <w:rPr>
          <w:sz w:val="20"/>
          <w:szCs w:val="20"/>
          <w:color w:val="auto"/>
        </w:rPr>
      </w:pPr>
    </w:p>
    <w:p>
      <w:pPr>
        <w:jc w:val="both"/>
        <w:ind w:left="980"/>
        <w:spacing w:after="0" w:line="271" w:lineRule="auto"/>
        <w:rPr>
          <w:sz w:val="20"/>
          <w:szCs w:val="20"/>
          <w:color w:val="auto"/>
        </w:rPr>
      </w:pPr>
      <w:r>
        <w:rPr>
          <w:rFonts w:ascii="Arial" w:cs="Arial" w:eastAsia="Arial" w:hAnsi="Arial"/>
          <w:sz w:val="17"/>
          <w:szCs w:val="17"/>
          <w:color w:val="auto"/>
        </w:rPr>
        <w:t>As of the date hereof, Mr. Wurth, as the sole managing member of Holdings, may be deemed to beneficially own 1,108,883 shares of Common Stock held by Holdings and 62,000 shares of Common Stock underlying warrants to purchase Common Stock held by Holdings. Mr. Wurth also owns 2,186,349 shares of Common Stock directly, 157,360 shares of Common Stock underlying options to purchase Common Stock directly and 7,868 shares of Common Stock underlying warrants to purchase Common Stock directly. Mr. Wurth, directly and/or indirectly, possesses the sole power to vote and the sole power to direct the disposition of all securities of the Issuer held by himself directly and all securities of the Issuer held by Holdings. As a result of the foregoing, and for purposes of Rule 13d-3 under the Securities Exchange Act of 1934, as amended, Mr. Wurth may be deemed to beneficially own 3,522,460 shares of Common Stock or 27.26% of the Common Stock of the Issuer as of the date of this filing.</w:t>
      </w:r>
    </w:p>
    <w:p>
      <w:pPr>
        <w:spacing w:after="0" w:line="178" w:lineRule="exact"/>
        <w:rPr>
          <w:sz w:val="20"/>
          <w:szCs w:val="20"/>
          <w:color w:val="auto"/>
        </w:rPr>
      </w:pPr>
    </w:p>
    <w:p>
      <w:pPr>
        <w:jc w:val="both"/>
        <w:ind w:left="980" w:hanging="324"/>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described herein (see Item 3), during the past sixty (60) days there were no other purchases or sales of shares of Common Stock, or securities convertible into or exchangeable for shares of Common Stock, by the Reporting Persons or any person or entity for which the Reporting Persons possess voting or dispositive control over the securities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1400"/>
        <w:spacing w:after="0"/>
        <w:tabs>
          <w:tab w:leader="none" w:pos="5460" w:val="left"/>
          <w:tab w:leader="none" w:pos="8340" w:val="left"/>
        </w:tabs>
        <w:rPr>
          <w:sz w:val="20"/>
          <w:szCs w:val="20"/>
          <w:color w:val="auto"/>
        </w:rPr>
      </w:pPr>
      <w:r>
        <w:rPr>
          <w:rFonts w:ascii="Arial" w:cs="Arial" w:eastAsia="Arial" w:hAnsi="Arial"/>
          <w:sz w:val="18"/>
          <w:szCs w:val="18"/>
          <w:color w:val="auto"/>
        </w:rPr>
        <w:t>CUSIP No. 095633103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7 of 8 Pages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than as described in this Schedule 13D, to the knowledge of the Reporting Persons, no other person has the right to receive or the power to direct the receipt of dividends from, or proceeds from the sale of, the shares of Common Stock beneficially owned by the Reporting Persons.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descriptions of relationships among the Reporting Persons in Item 2, which are incorporated by reference in this Item 6.</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Reporting Persons have entered into a Joint Filing Agreement pursuant to which, among other things, the Reporting Persons agreed to the joint filing on behalf of each of them of statements on Schedule 13D with respect to the securities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the IPO, each of Mr. Wurth and Holdings entered into a “lock-up” agreement in favor of the underwriter, pursuant to which each of Mr. Wurth and Holdings agreed, subject to certain exceptions, not to offer, issue, sell, contract to sell, encumber, grant any option for the sale of or otherwise dispose of any shares of Issuer’s Common Stock or other securities convertible into or exercisable or exchangeable for shares of Issuer’s Common Stock for a period of six months after the IPO is completed without the prior written consent of the representative of the underwriters.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Joint Filing Agreement and Form of Lock-Up Agreement, which are attached hereto as Exhibits 1 and 2, respectively, are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260" w:hanging="1252"/>
        <w:spacing w:after="0"/>
        <w:tabs>
          <w:tab w:leader="none" w:pos="1260" w:val="left"/>
        </w:tabs>
        <w:numPr>
          <w:ilvl w:val="0"/>
          <w:numId w:val="28"/>
        </w:numPr>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Joint Filing Agreement, dated December 22, 2021, among the Reporting Persons.*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2780" w:firstLine="8"/>
        <w:spacing w:after="0" w:line="527" w:lineRule="auto"/>
        <w:tabs>
          <w:tab w:leader="none" w:pos="1242" w:val="left"/>
        </w:tabs>
        <w:numPr>
          <w:ilvl w:val="0"/>
          <w:numId w:val="29"/>
        </w:numPr>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Form of Lock-up Agreement entered into by each of Douglas C. Wurth and Wurth Holdings, LLC.*</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1400"/>
        <w:spacing w:after="0"/>
        <w:tabs>
          <w:tab w:leader="none" w:pos="5460" w:val="left"/>
          <w:tab w:leader="none" w:pos="8340" w:val="left"/>
        </w:tabs>
        <w:rPr>
          <w:sz w:val="20"/>
          <w:szCs w:val="20"/>
          <w:color w:val="auto"/>
        </w:rPr>
      </w:pPr>
      <w:r>
        <w:rPr>
          <w:rFonts w:ascii="Arial" w:cs="Arial" w:eastAsia="Arial" w:hAnsi="Arial"/>
          <w:sz w:val="18"/>
          <w:szCs w:val="18"/>
          <w:color w:val="auto"/>
        </w:rPr>
        <w:t>CUSIP No. 095633103</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8 of 8 Pages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Douglas C. Wurth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Douglas C. Wurth</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WURTH HOLDINGS,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Douglas C. Wurth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Douglas C. Wurth</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and in accordance with the Securities Exchange Act of 1934, as amended, and the rules and regulations thereunder (the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Bluejay Diagnostics, Inc., a Delaware corporation, and further agree to the filing, furnishing, and/or incorporation by reference of this Agreement as an exhibit thereto. Each of the undersigned is responsible for the timely filing of such filings and any amendments thereto, and for the completeness and accuracy of the information concerning such person contained therein; but none of the undersigned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 The undersigned, being duly authorized, have executed this Joint Filing Agreement this 22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day of December, 2021.</w:t>
      </w:r>
    </w:p>
    <w:p>
      <w:pPr>
        <w:spacing w:after="0" w:line="4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Douglas C. Wurth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Douglas C. Wurth</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WURTH HOLDINGS,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C. Wurth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Douglas C. Wurth</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Dawson James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acting as representative to the several underwriters:</w:t>
      </w:r>
    </w:p>
    <w:p>
      <w:pPr>
        <w:sectPr>
          <w:pgSz w:w="11900" w:h="16838" w:orient="portrait"/>
          <w:cols w:equalWidth="0" w:num="1">
            <w:col w:w="11240"/>
          </w:cols>
          <w:pgMar w:left="320" w:top="111" w:right="339" w:bottom="144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Underwriting Agreement, dated November 9, 2021, by and between Bluejay Diagnostics, Inc., and Dawson James Securities, Inc., acting as representative to the several underwriters</w:t>
      </w:r>
    </w:p>
    <w:p>
      <w:pPr>
        <w:spacing w:after="0" w:line="170" w:lineRule="exact"/>
        <w:rPr>
          <w:sz w:val="20"/>
          <w:szCs w:val="20"/>
          <w:color w:val="auto"/>
        </w:rPr>
      </w:pPr>
    </w:p>
    <w:p>
      <w:pPr>
        <w:sectPr>
          <w:pgSz w:w="11900" w:h="16838" w:orient="portrait"/>
          <w:cols w:equalWidth="0" w:num="2">
            <w:col w:w="900" w:space="400"/>
            <w:col w:w="9940"/>
          </w:cols>
          <w:pgMar w:left="320" w:top="111" w:right="3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6"/>
          <w:szCs w:val="16"/>
          <w:color w:val="auto"/>
        </w:rPr>
        <w:t>The undersigned irrevocably agrees with the Company that, from the date hereof until 180 days following the date of the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entered into by and between Bluejay Diagnostics,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Dawson James Securities, Inc. (the “</w:t>
      </w:r>
      <w:r>
        <w:rPr>
          <w:rFonts w:ascii="Arial" w:cs="Arial" w:eastAsia="Arial" w:hAnsi="Arial"/>
          <w:sz w:val="16"/>
          <w:szCs w:val="16"/>
          <w:u w:val="single" w:color="auto"/>
          <w:color w:val="auto"/>
        </w:rPr>
        <w:t>Representative</w:t>
      </w:r>
      <w:r>
        <w:rPr>
          <w:rFonts w:ascii="Arial" w:cs="Arial" w:eastAsia="Arial" w:hAnsi="Arial"/>
          <w:sz w:val="16"/>
          <w:szCs w:val="16"/>
          <w:color w:val="auto"/>
        </w:rPr>
        <w:t>”), acting as representative to the several underwriters (such period, the “</w:t>
      </w:r>
      <w:r>
        <w:rPr>
          <w:rFonts w:ascii="Arial" w:cs="Arial" w:eastAsia="Arial" w:hAnsi="Arial"/>
          <w:sz w:val="16"/>
          <w:szCs w:val="16"/>
          <w:u w:val="single" w:color="auto"/>
          <w:color w:val="auto"/>
        </w:rPr>
        <w:t>Restriction Period</w:t>
      </w:r>
      <w:r>
        <w:rPr>
          <w:rFonts w:ascii="Arial" w:cs="Arial" w:eastAsia="Arial" w:hAnsi="Arial"/>
          <w:sz w:val="16"/>
          <w:szCs w:val="16"/>
          <w:color w:val="auto"/>
        </w:rPr>
        <w:t>” and the underwriters collectively, the “</w:t>
      </w:r>
      <w:r>
        <w:rPr>
          <w:rFonts w:ascii="Arial" w:cs="Arial" w:eastAsia="Arial" w:hAnsi="Arial"/>
          <w:sz w:val="16"/>
          <w:szCs w:val="16"/>
          <w:u w:val="single" w:color="auto"/>
          <w:color w:val="auto"/>
        </w:rPr>
        <w:t>Underwriters</w:t>
      </w:r>
      <w:r>
        <w:rPr>
          <w:rFonts w:ascii="Arial" w:cs="Arial" w:eastAsia="Arial" w:hAnsi="Arial"/>
          <w:sz w:val="16"/>
          <w:szCs w:val="16"/>
          <w:color w:val="auto"/>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(as defined in the Underwriting Agreement)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with respect to, any shares of common stock of the Company or securities convertible, exchangeable or exercisable into, shares of common stock of the Company beneficially owned, held or hereafter acquired by the undersigned (the “</w:t>
      </w:r>
      <w:r>
        <w:rPr>
          <w:rFonts w:ascii="Arial" w:cs="Arial" w:eastAsia="Arial" w:hAnsi="Arial"/>
          <w:sz w:val="16"/>
          <w:szCs w:val="16"/>
          <w:u w:val="single" w:color="auto"/>
          <w:color w:val="auto"/>
        </w:rPr>
        <w:t>Securities</w:t>
      </w:r>
      <w:r>
        <w:rPr>
          <w:rFonts w:ascii="Arial" w:cs="Arial" w:eastAsia="Arial" w:hAnsi="Arial"/>
          <w:sz w:val="16"/>
          <w:szCs w:val="16"/>
          <w:color w:val="auto"/>
        </w:rPr>
        <w:t>”). Beneficial ownership shall be calculated in accordance with Section 13(d) of the Exchange Act. In order to enforce this covenant, the Company shall impose irrevocable stop-transfer instructions preventing the transfer agent of the Company from effecting any actions in violation of this letter agreement. The Representative may consent to an early release from the Restriction Period if, in its sole and absolute discretion, the market for the Securities would not be adversely impacted by sales and in cases of financial emergency.</w:t>
      </w:r>
    </w:p>
    <w:p>
      <w:pPr>
        <w:spacing w:after="0" w:line="187" w:lineRule="exact"/>
        <w:rPr>
          <w:sz w:val="20"/>
          <w:szCs w:val="20"/>
          <w:color w:val="auto"/>
        </w:rPr>
      </w:pPr>
    </w:p>
    <w:p>
      <w:pPr>
        <w:jc w:val="both"/>
        <w:ind w:right="100" w:firstLine="648"/>
        <w:spacing w:after="0" w:line="296" w:lineRule="auto"/>
        <w:rPr>
          <w:sz w:val="20"/>
          <w:szCs w:val="20"/>
          <w:color w:val="auto"/>
        </w:rPr>
      </w:pPr>
      <w:r>
        <w:rPr>
          <w:rFonts w:ascii="Arial" w:cs="Arial" w:eastAsia="Arial" w:hAnsi="Arial"/>
          <w:sz w:val="16"/>
          <w:szCs w:val="16"/>
          <w:color w:val="auto"/>
        </w:rPr>
        <w:t>The undersigned acknowledges that the execution, delivery and performance of this letter agreement is a material inducement to each Underwriter to perform under the Underwriting Agreement and that each Underwriter (which shall be a third party beneficiary of this letter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Underwriting Agreement.</w:t>
      </w:r>
    </w:p>
    <w:p>
      <w:pPr>
        <w:spacing w:after="0" w:line="229"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This letter agreement may not be amended or otherwise modified in any respect without the written consent of each of the Company, the Representative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Underwriting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each Underwriter and that no issuance or sale of the Securities is created or intended by virtue of this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0" w:name="page11"/>
    <w:bookmarkEnd w:id="10"/>
    <w:p>
      <w:pPr>
        <w:jc w:val="both"/>
        <w:ind w:firstLine="648"/>
        <w:spacing w:after="0" w:line="259" w:lineRule="auto"/>
        <w:rPr>
          <w:sz w:val="20"/>
          <w:szCs w:val="20"/>
          <w:color w:val="auto"/>
        </w:rPr>
      </w:pPr>
      <w:r>
        <w:rPr>
          <w:rFonts w:ascii="Arial" w:cs="Arial" w:eastAsia="Arial" w:hAnsi="Arial"/>
          <w:sz w:val="18"/>
          <w:szCs w:val="18"/>
          <w:color w:val="auto"/>
        </w:rPr>
        <w:t>By its signature below, the transfer agent of the Company hereby acknowledges and agrees that, reflecting this letter agreement, it has placed an irrevocable stop transfer instruction on all Securities beneficially owned by the undersigned until the end of the Restriction Period. This letter agreement shall be binding on successors and assigns of the undersigned with respect to the Securities and any such successor or assign shall enter into a similar agreement for the benefit of the Underwriters.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00" w:right="459" w:bottom="1440" w:gutter="0" w:footer="0" w:header="0"/>
        </w:sectPr>
      </w:pPr>
    </w:p>
    <w:bookmarkStart w:id="11" w:name="page12"/>
    <w:bookmarkEnd w:id="11"/>
    <w:p>
      <w:pPr>
        <w:ind w:firstLine="648"/>
        <w:spacing w:after="0" w:line="277" w:lineRule="auto"/>
        <w:rPr>
          <w:sz w:val="20"/>
          <w:szCs w:val="20"/>
          <w:color w:val="auto"/>
        </w:rPr>
      </w:pPr>
      <w:r>
        <w:rPr>
          <w:rFonts w:ascii="Arial" w:cs="Arial" w:eastAsia="Arial" w:hAnsi="Arial"/>
          <w:sz w:val="18"/>
          <w:szCs w:val="18"/>
          <w:color w:val="auto"/>
        </w:rPr>
        <w:t>This Letter Agreement may be executed in two or more counterparts, all of which when taken together may be considered one and the same agreement.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Position in Company,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2854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4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2854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(Post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54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underlying stock options, warrants and derivatives.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signing below, the Company agrees to enforce the restrictions on transfer set forth in this Letter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BLUEJAY DIAGNOSTICS,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5031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bullet"/>
      <w:start w:val="1"/>
    </w:lvl>
  </w:abstractNum>
  <w:abstractNum w:abstractNumId="1">
    <w:nsid w:val="41A7C4C9"/>
    <w:multiLevelType w:val="hybridMultilevel"/>
    <w:lvl w:ilvl="0">
      <w:lvlJc w:val="left"/>
      <w:lvlText w:val="2"/>
      <w:numFmt w:val="bullet"/>
      <w:start w:val="1"/>
    </w:lvl>
  </w:abstractNum>
  <w:abstractNum w:abstractNumId="2">
    <w:nsid w:val="6B68079A"/>
    <w:multiLevelType w:val="hybridMultilevel"/>
    <w:lvl w:ilvl="0">
      <w:lvlJc w:val="left"/>
      <w:lvlText w:val="3"/>
      <w:numFmt w:val="bullet"/>
      <w:start w:val="1"/>
    </w:lvl>
  </w:abstractNum>
  <w:abstractNum w:abstractNumId="3">
    <w:nsid w:val="4E6AFB66"/>
    <w:multiLevelType w:val="hybridMultilevel"/>
    <w:lvl w:ilvl="0">
      <w:lvlJc w:val="left"/>
      <w:lvlText w:val="4"/>
      <w:numFmt w:val="bullet"/>
      <w:start w:val="1"/>
    </w:lvl>
  </w:abstractNum>
  <w:abstractNum w:abstractNumId="4">
    <w:nsid w:val="25E45D32"/>
    <w:multiLevelType w:val="hybridMultilevel"/>
    <w:lvl w:ilvl="0">
      <w:lvlJc w:val="left"/>
      <w:lvlText w:val="5"/>
      <w:numFmt w:val="bullet"/>
      <w:start w:val="1"/>
    </w:lvl>
  </w:abstractNum>
  <w:abstractNum w:abstractNumId="5">
    <w:nsid w:val="519B500D"/>
    <w:multiLevelType w:val="hybridMultilevel"/>
    <w:lvl w:ilvl="0">
      <w:lvlJc w:val="left"/>
      <w:lvlText w:val="6"/>
      <w:numFmt w:val="bullet"/>
      <w:start w:val="1"/>
    </w:lvl>
  </w:abstractNum>
  <w:abstractNum w:abstractNumId="6">
    <w:nsid w:val="431BD7B7"/>
    <w:multiLevelType w:val="hybridMultilevel"/>
    <w:lvl w:ilvl="0">
      <w:lvlJc w:val="left"/>
      <w:lvlText w:val="+"/>
      <w:numFmt w:val="bullet"/>
      <w:start w:val="1"/>
    </w:lvl>
    <w:lvl w:ilvl="1">
      <w:lvlJc w:val="left"/>
      <w:lvlText w:val="%2"/>
      <w:numFmt w:val="decimal"/>
      <w:start w:val="1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bullet"/>
      <w:start w:val="1"/>
    </w:lvl>
  </w:abstractNum>
  <w:abstractNum w:abstractNumId="11">
    <w:nsid w:val="436C6125"/>
    <w:multiLevelType w:val="hybridMultilevel"/>
    <w:lvl w:ilvl="0">
      <w:lvlJc w:val="left"/>
      <w:lvlText w:val="2"/>
      <w:numFmt w:val="bullet"/>
      <w:start w:val="1"/>
    </w:lvl>
  </w:abstractNum>
  <w:abstractNum w:abstractNumId="12">
    <w:nsid w:val="628C895D"/>
    <w:multiLevelType w:val="hybridMultilevel"/>
    <w:lvl w:ilvl="0">
      <w:lvlJc w:val="left"/>
      <w:lvlText w:val="3"/>
      <w:numFmt w:val="bullet"/>
      <w:start w:val="1"/>
    </w:lvl>
  </w:abstractNum>
  <w:abstractNum w:abstractNumId="13">
    <w:nsid w:val="333AB105"/>
    <w:multiLevelType w:val="hybridMultilevel"/>
    <w:lvl w:ilvl="0">
      <w:lvlJc w:val="left"/>
      <w:lvlText w:val="4"/>
      <w:numFmt w:val="bullet"/>
      <w:start w:val="1"/>
    </w:lvl>
  </w:abstractNum>
  <w:abstractNum w:abstractNumId="14">
    <w:nsid w:val="721DA317"/>
    <w:multiLevelType w:val="hybridMultilevel"/>
    <w:lvl w:ilvl="0">
      <w:lvlJc w:val="left"/>
      <w:lvlText w:val="5"/>
      <w:numFmt w:val="bullet"/>
      <w:start w:val="1"/>
    </w:lvl>
  </w:abstractNum>
  <w:abstractNum w:abstractNumId="15">
    <w:nsid w:val="2443A858"/>
    <w:multiLevelType w:val="hybridMultilevel"/>
    <w:lvl w:ilvl="0">
      <w:lvlJc w:val="left"/>
      <w:lvlText w:val="6"/>
      <w:numFmt w:val="bullet"/>
      <w:start w:val="1"/>
    </w:lvl>
  </w:abstractNum>
  <w:abstractNum w:abstractNumId="16">
    <w:nsid w:val="2D1D5AE9"/>
    <w:multiLevelType w:val="hybridMultilevel"/>
    <w:lvl w:ilvl="0">
      <w:lvlJc w:val="left"/>
      <w:lvlText w:val="+"/>
      <w:numFmt w:val="bullet"/>
      <w:start w:val="1"/>
    </w:lvl>
    <w:lvl w:ilvl="1">
      <w:lvlJc w:val="left"/>
      <w:lvlText w:val="%2"/>
      <w:numFmt w:val="decimal"/>
      <w:start w:val="1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c"/>
      <w:numFmt w:val="bullet"/>
      <w:start w:val="1"/>
    </w:lvl>
  </w:abstractNum>
  <w:abstractNum w:abstractNumId="21">
    <w:nsid w:val="4353D0CD"/>
    <w:multiLevelType w:val="hybridMultilevel"/>
    <w:lvl w:ilvl="0">
      <w:lvlJc w:val="left"/>
      <w:lvlText w:val="%1."/>
      <w:numFmt w:val="lowerLetter"/>
      <w:start w:val="4"/>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9"/>
    </w:lvl>
  </w:abstractNum>
  <w:abstractNum w:abstractNumId="25">
    <w:nsid w:val="71F32454"/>
    <w:multiLevelType w:val="hybridMultilevel"/>
    <w:lvl w:ilvl="0">
      <w:lvlJc w:val="left"/>
      <w:lvlText w:val="(%1)"/>
      <w:numFmt w:val="lowerLetter"/>
      <w:start w:val="3"/>
    </w:lvl>
  </w:abstractNum>
  <w:abstractNum w:abstractNumId="26">
    <w:nsid w:val="2CA88611"/>
    <w:multiLevelType w:val="hybridMultilevel"/>
    <w:lvl w:ilvl="0">
      <w:lvlJc w:val="left"/>
      <w:lvlText w:val="(%1)"/>
      <w:numFmt w:val="lowerLetter"/>
      <w:start w:val="4"/>
    </w:lvl>
  </w:abstractNum>
  <w:abstractNum w:abstractNumId="27">
    <w:nsid w:val="836C40E"/>
    <w:multiLevelType w:val="hybridMultilevel"/>
    <w:lvl w:ilvl="0">
      <w:lvlJc w:val="left"/>
      <w:lvlText w:val="1"/>
      <w:numFmt w:val="bullet"/>
      <w:start w:val="1"/>
    </w:lvl>
  </w:abstractNum>
  <w:abstractNum w:abstractNumId="28">
    <w:nsid w:val="2901D8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2021-12-22T16:22:25Z</dcterms:created>
  <dcterms:modified xsi:type="dcterms:W3CDTF">2021-12-22T16:22:25Z</dcterms:modified>
</cp:coreProperties>
</file>