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18,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Bluejay Diagnostics,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38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4160" w:type="dxa"/>
            <w:vAlign w:val="bottom"/>
            <w:gridSpan w:val="3"/>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001-41031</w:t>
            </w:r>
          </w:p>
        </w:tc>
        <w:tc>
          <w:tcPr>
            <w:tcW w:w="1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47-3552922</w:t>
            </w:r>
          </w:p>
        </w:tc>
      </w:tr>
      <w:tr>
        <w:trPr>
          <w:trHeight w:val="198"/>
        </w:trPr>
        <w:tc>
          <w:tcPr>
            <w:tcW w:w="3380" w:type="dxa"/>
            <w:vAlign w:val="bottom"/>
            <w:tcBorders>
              <w:top w:val="single" w:sz="8" w:color="auto"/>
            </w:tcBorders>
          </w:tcPr>
          <w:p>
            <w:pPr>
              <w:jc w:val="center"/>
              <w:ind w:left="370"/>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4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(Commission File No.)</w:t>
            </w:r>
          </w:p>
        </w:tc>
        <w:tc>
          <w:tcPr>
            <w:tcW w:w="1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3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360 Massachusetts Avenue, Suite 203</w:t>
            </w:r>
          </w:p>
        </w:tc>
        <w:tc>
          <w:tcPr>
            <w:tcW w:w="3600" w:type="dxa"/>
            <w:vAlign w:val="bottom"/>
          </w:tcPr>
          <w:p>
            <w:pPr>
              <w:spacing w:after="0"/>
              <w:rPr>
                <w:sz w:val="24"/>
                <w:szCs w:val="24"/>
                <w:color w:val="auto"/>
              </w:rPr>
            </w:pPr>
          </w:p>
        </w:tc>
      </w:tr>
      <w:tr>
        <w:trPr>
          <w:trHeight w:val="220"/>
        </w:trPr>
        <w:tc>
          <w:tcPr>
            <w:tcW w:w="3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Acton, MA 01720</w:t>
            </w:r>
          </w:p>
        </w:tc>
        <w:tc>
          <w:tcPr>
            <w:tcW w:w="3600" w:type="dxa"/>
            <w:vAlign w:val="bottom"/>
          </w:tcPr>
          <w:p>
            <w:pPr>
              <w:spacing w:after="0"/>
              <w:rPr>
                <w:sz w:val="19"/>
                <w:szCs w:val="19"/>
                <w:color w:val="auto"/>
              </w:rPr>
            </w:pPr>
          </w:p>
        </w:tc>
      </w:tr>
      <w:tr>
        <w:trPr>
          <w:trHeight w:val="234"/>
        </w:trPr>
        <w:tc>
          <w:tcPr>
            <w:tcW w:w="3380" w:type="dxa"/>
            <w:vAlign w:val="bottom"/>
          </w:tcPr>
          <w:p>
            <w:pPr>
              <w:spacing w:after="0"/>
              <w:rPr>
                <w:sz w:val="20"/>
                <w:szCs w:val="20"/>
                <w:color w:val="auto"/>
              </w:rPr>
            </w:pPr>
          </w:p>
        </w:tc>
        <w:tc>
          <w:tcPr>
            <w:tcW w:w="426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3600" w:type="dxa"/>
            <w:vAlign w:val="bottom"/>
          </w:tcPr>
          <w:p>
            <w:pPr>
              <w:spacing w:after="0"/>
              <w:rPr>
                <w:sz w:val="20"/>
                <w:szCs w:val="20"/>
                <w:color w:val="auto"/>
              </w:rPr>
            </w:pPr>
          </w:p>
        </w:tc>
      </w:tr>
      <w:tr>
        <w:trPr>
          <w:trHeight w:val="414"/>
        </w:trPr>
        <w:tc>
          <w:tcPr>
            <w:tcW w:w="3380" w:type="dxa"/>
            <w:vAlign w:val="bottom"/>
          </w:tcPr>
          <w:p>
            <w:pPr>
              <w:spacing w:after="0"/>
              <w:rPr>
                <w:sz w:val="24"/>
                <w:szCs w:val="24"/>
                <w:color w:val="auto"/>
              </w:rPr>
            </w:pPr>
          </w:p>
        </w:tc>
        <w:tc>
          <w:tcPr>
            <w:tcW w:w="416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(844) 327-7078</w:t>
            </w: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4"/>
        </w:trPr>
        <w:tc>
          <w:tcPr>
            <w:tcW w:w="3380" w:type="dxa"/>
            <w:vAlign w:val="bottom"/>
          </w:tcPr>
          <w:p>
            <w:pPr>
              <w:spacing w:after="0"/>
              <w:rPr>
                <w:sz w:val="20"/>
                <w:szCs w:val="20"/>
                <w:color w:val="auto"/>
              </w:rPr>
            </w:pPr>
          </w:p>
        </w:tc>
        <w:tc>
          <w:tcPr>
            <w:tcW w:w="426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from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240.13e-14(c)).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52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2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Trading Symbol (s)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center"/>
              <w:ind w:right="590"/>
              <w:spacing w:after="0"/>
              <w:rPr>
                <w:sz w:val="20"/>
                <w:szCs w:val="20"/>
                <w:color w:val="auto"/>
              </w:rPr>
            </w:pPr>
            <w:r>
              <w:rPr>
                <w:rFonts w:ascii="Times New Roman" w:cs="Times New Roman" w:eastAsia="Times New Roman" w:hAnsi="Times New Roman"/>
                <w:sz w:val="18"/>
                <w:szCs w:val="18"/>
                <w:color w:val="auto"/>
                <w:w w:val="97"/>
              </w:rPr>
              <w:t>BJDX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r>
        <w:trPr>
          <w:trHeight w:val="216"/>
        </w:trPr>
        <w:tc>
          <w:tcPr>
            <w:tcW w:w="3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682"/>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18, 2025, Bluejay Diagnostics, Inc. (the “Company”) held its 2025 annual meeting of stockholders (the “Annual Meeting”). As of May 15, 2025, the record date for the Annual Meeting, there were 1,494,182 shares of the Company’s common stock issued and outstanding and entitled to vote on the proposals presented at the Annual Meeting, of which 616,134 were present in person or represented by proxy, which constituted a quorum. Shareholders are entitled to one vote for each share of common stock held. Set forth below are the final voting results for each of the proposals submitted to a vote of the Company’s stockholders at the Annual Meeting.</w:t>
      </w:r>
    </w:p>
    <w:p>
      <w:pPr>
        <w:spacing w:after="0" w:line="17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Proposal 1. Election of Directors </w:t>
      </w:r>
      <w:r>
        <w:rPr>
          <w:rFonts w:ascii="Times New Roman" w:cs="Times New Roman" w:eastAsia="Times New Roman" w:hAnsi="Times New Roman"/>
          <w:sz w:val="18"/>
          <w:szCs w:val="18"/>
          <w:color w:val="auto"/>
        </w:rPr>
        <w:t>- The Company’s stockholders re-elected each of Donald Chase, Neil Dey, Svetlana Dey, Douglas Wurth and Fred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Zeidman to serve as directors until the Company’s 2026 annual meeting of stockholders, or until their successors are duly elected and qualified. The voting results for the proposal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 Name</w:t>
            </w: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Chase</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86,718</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5"/>
              </w:rPr>
              <w:t>145,772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Neil Dey</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82,356</w:t>
            </w:r>
          </w:p>
        </w:tc>
        <w:tc>
          <w:tcPr>
            <w:tcW w:w="13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150,134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383,644</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Svetlana Dey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86,661</w:t>
            </w:r>
          </w:p>
        </w:tc>
        <w:tc>
          <w:tcPr>
            <w:tcW w:w="13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145,829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383,644</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Wurth</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86,883</w:t>
            </w:r>
          </w:p>
        </w:tc>
        <w:tc>
          <w:tcPr>
            <w:tcW w:w="13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145,607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383,644</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Fred Zeidman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86,915</w:t>
            </w:r>
          </w:p>
        </w:tc>
        <w:tc>
          <w:tcPr>
            <w:tcW w:w="13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145,575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383,644</w:t>
            </w:r>
          </w:p>
        </w:tc>
      </w:tr>
    </w:tbl>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Proposal 2. Approve and adopt an amendment to the Company’s amended and restated certificate of incorporation, as amended, and effect a reverse stock split of the Company’s common stock - </w:t>
      </w:r>
      <w:r>
        <w:rPr>
          <w:rFonts w:ascii="Times New Roman" w:cs="Times New Roman" w:eastAsia="Times New Roman" w:hAnsi="Times New Roman"/>
          <w:sz w:val="18"/>
          <w:szCs w:val="18"/>
          <w:color w:val="auto"/>
        </w:rPr>
        <w:t>The Company’s stockholders approved and adopted an amendment to the Company’s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to effect a reverse stock split of all of the Company’s outstanding shares of common stock by one of several fixed ratios between 1-for-2 and 1-for-20 (the “Reverse Stock Split”), with the final decision as to whether to proceed with the Reverse Stock Split, the effective time of the Reverse Stock Split (which may not be later than June 18, 2026), and the exact ratio of the Reverse Stock Split to be determined in the future by the Company’s board of directors (the “Board”), in its sole discretion and without further action by the Company’s stockholders. As of the date of this Form 8-K, the Board has not made any final decision as to whether to proceed with the Reverse Stock Split, or the exact timing or ratio thereof. The voting results for the proposal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6"/>
        </w:trPr>
        <w:tc>
          <w:tcPr>
            <w:tcW w:w="3620" w:type="dxa"/>
            <w:vAlign w:val="bottom"/>
            <w:tcBorders>
              <w:top w:val="single" w:sz="8" w:color="auto"/>
            </w:tcBorders>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420,241</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188,129</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7,764</w:t>
            </w:r>
          </w:p>
        </w:tc>
      </w:tr>
    </w:tbl>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Proposal 3. Approve and adopt an amendment to the Company’s amended and restated certificate of incorporation, as amended, and effect an additional reverse stock split of the Company’s common stock - </w:t>
      </w:r>
      <w:r>
        <w:rPr>
          <w:rFonts w:ascii="Times New Roman" w:cs="Times New Roman" w:eastAsia="Times New Roman" w:hAnsi="Times New Roman"/>
          <w:sz w:val="18"/>
          <w:szCs w:val="18"/>
          <w:color w:val="auto"/>
        </w:rPr>
        <w:t>The Company’s stockholders approved and adopted an amendment to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to effect a further reverse stock split of all of the Company’s outstanding shares of common stock by one of several fixed ratios between 1-for-2 and 1-for-20 (the “Additional Reverse Stock Split”), with the final decision as to whether to proceed with the Additional Reverse Stock Split, the effective time of the Additional Reverse Stock Split (which may not be later than June 18, 2026), and the exact ratio of the Additional Reverse Stock Split to be determined in the future by the Board, in its sole discretion and without further action by the Company’s stockholders. The Additional Reverse Stock Split may not be implemented by the Board unless and until the Reverse Stock Split approved by stockholders pursuant to Proposal 2 has already been implemented. As of the date of this Form 8-K, the Board has not made any final decision as to whether to proceed with the Additional Reverse Stock Split, or the exact timing or ratio thereof. The voting results for the proposal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6"/>
        </w:trPr>
        <w:tc>
          <w:tcPr>
            <w:tcW w:w="3620" w:type="dxa"/>
            <w:vAlign w:val="bottom"/>
            <w:tcBorders>
              <w:top w:val="single" w:sz="8" w:color="auto"/>
            </w:tcBorders>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426,669</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181,699</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7,766</w:t>
            </w:r>
          </w:p>
        </w:tc>
      </w:tr>
    </w:tbl>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Proposal 4. Ratification of Wolf &amp; Company, P.C. as the Company’s Independent Registered Public Accounting Firm - </w:t>
      </w:r>
      <w:r>
        <w:rPr>
          <w:rFonts w:ascii="Times New Roman" w:cs="Times New Roman" w:eastAsia="Times New Roman" w:hAnsi="Times New Roman"/>
          <w:sz w:val="18"/>
          <w:szCs w:val="18"/>
          <w:color w:val="auto"/>
        </w:rPr>
        <w:t>The Company’s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ratified the appointment of Wolf &amp; Company, P.C. as the Company’s independent registered public accounting firm for the fiscal year ending December 31, 2025. The voting results for the proposal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6"/>
        </w:trPr>
        <w:tc>
          <w:tcPr>
            <w:tcW w:w="3620" w:type="dxa"/>
            <w:vAlign w:val="bottom"/>
            <w:tcBorders>
              <w:top w:val="single" w:sz="8" w:color="auto"/>
            </w:tcBorders>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383,236</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86,011</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146,887</w:t>
            </w:r>
          </w:p>
        </w:tc>
      </w:tr>
      <w:tr>
        <w:trPr>
          <w:trHeight w:val="655"/>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Bluejay Diagnostics Inc.</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Neil Dey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Neil Dey</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20, 2025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2025-06-20T05:11:01Z</dcterms:created>
  <dcterms:modified xsi:type="dcterms:W3CDTF">2025-06-20T05:11:01Z</dcterms:modified>
</cp:coreProperties>
</file>